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57.png" ContentType="image/png"/>
  <Override PartName="/word/media/image35.png" ContentType="image/png"/>
  <Override PartName="/word/media/image13.png" ContentType="image/png"/>
  <Override PartName="/word/media/image8.png" ContentType="image/png"/>
  <Override PartName="/word/media/image51.png" ContentType="image/png"/>
  <Override PartName="/word/media/image2.png" ContentType="image/png"/>
  <Override PartName="/word/media/image3.png" ContentType="image/png"/>
  <Override PartName="/word/media/image30.png" ContentType="image/png"/>
  <Override PartName="/word/media/image52.png" ContentType="image/png"/>
  <Override PartName="/word/media/image4.png" ContentType="image/png"/>
  <Override PartName="/word/media/image31.png" ContentType="image/png"/>
  <Override PartName="/word/media/image5.png" ContentType="image/png"/>
  <Override PartName="/word/media/image32.png" ContentType="image/png"/>
  <Override PartName="/word/media/image6.png" ContentType="image/png"/>
  <Override PartName="/word/media/image11.png" ContentType="image/png"/>
  <Override PartName="/word/media/image33.png" ContentType="image/png"/>
  <Override PartName="/word/media/image7.png" ContentType="image/png"/>
  <Override PartName="/word/media/image12.png" ContentType="image/png"/>
  <Override PartName="/word/media/image56.png" ContentType="image/png"/>
  <Override PartName="/word/media/image9.png" ContentType="image/png"/>
  <Override PartName="/word/media/image14.png" ContentType="image/png"/>
  <Override PartName="/word/media/image36.png" ContentType="image/png"/>
  <Override PartName="/word/media/image58.png" ContentType="image/png"/>
  <Override PartName="/word/media/image15.png" ContentType="image/png"/>
  <Override PartName="/word/media/image37.png" ContentType="image/png"/>
  <Override PartName="/word/media/image59.png" ContentType="image/png"/>
  <Override PartName="/word/media/image38.png" ContentType="image/png"/>
  <Override PartName="/word/media/image39.png" ContentType="image/png"/>
  <Override PartName="/word/media/image18.png" ContentType="image/png"/>
  <Override PartName="/word/media/image19.png" ContentType="image/png"/>
  <Override PartName="/word/media/image42.png" ContentType="image/png"/>
  <Override PartName="/word/media/image64.png" ContentType="image/png"/>
  <Override PartName="/word/media/image43.png" ContentType="image/png"/>
  <Override PartName="/word/media/image22.png" ContentType="image/png"/>
  <Override PartName="/word/media/image44.png" ContentType="image/png"/>
  <Override PartName="/word/media/image23.png" ContentType="image/png"/>
  <Override PartName="/word/media/image45.png" ContentType="image/png"/>
  <Override PartName="/word/media/image24.png" ContentType="image/png"/>
  <Override PartName="/word/media/image46.png" ContentType="image/png"/>
  <Override PartName="/word/media/image25.png" ContentType="image/png"/>
  <Override PartName="/word/media/image47.png" ContentType="image/png"/>
  <Override PartName="/word/media/image26.png" ContentType="image/png"/>
  <Override PartName="/word/media/image48.png" ContentType="image/png"/>
  <Override PartName="/word/media/image27.png" ContentType="image/png"/>
  <Override PartName="/word/media/image49.png" ContentType="image/png"/>
  <Override PartName="/word/media/image28.png" ContentType="image/png"/>
  <Override PartName="/word/media/image40.png" ContentType="image/png"/>
  <Override PartName="/word/media/image62.png" ContentType="image/png"/>
  <Override PartName="/word/media/image63.png" ContentType="image/png"/>
  <Override PartName="/word/media/image61.png" ContentType="image/png"/>
  <Override PartName="/word/media/image65.png" ContentType="image/png"/>
  <Override PartName="/word/media/image67.png" ContentType="image/png"/>
  <Override PartName="/word/media/image68.png" ContentType="image/png"/>
  <Override PartName="/word/media/image71.png" ContentType="image/png"/>
  <Override PartName="/word/media/image72.png" ContentType="image/png"/>
  <Override PartName="/word/media/image73.png" ContentType="image/png"/>
  <Override PartName="/word/media/image74.png" ContentType="image/png"/>
  <Override PartName="/word/media/image75.png" ContentType="image/png"/>
  <Override PartName="/word/media/image76.png" ContentType="image/png"/>
  <Override PartName="/word/media/image77.png" ContentType="image/png"/>
  <Override PartName="/word/media/image78.png" ContentType="image/png"/>
  <Override PartName="/word/media/image80.png" ContentType="image/png"/>
  <Override PartName="/word/media/image81.png" ContentType="image/png"/>
  <Override PartName="/word/footnotes.xml" ContentType="application/vnd.openxmlformats-officedocument.wordprocessingml.footnotes+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header1.xml.rels" ContentType="application/vnd.openxmlformats-package.relationships+xml"/>
  <Override PartName="/word/_rels/footer1.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Override PartName="/word/media/image79.png" ContentType="image/png"/>
  <Override PartName="/word/media/image70.png" ContentType="image/png"/>
  <Override PartName="/word/media/image69.png" ContentType="image/png"/>
  <Override PartName="/word/media/image66.png" ContentType="image/png"/>
  <Override PartName="/word/media/image60.png" ContentType="image/png"/>
  <Override PartName="/word/media/image50.png" ContentType="image/png"/>
  <Override PartName="/word/media/image41.png" ContentType="image/png"/>
  <Override PartName="/word/media/image29.png" ContentType="image/png"/>
  <Override PartName="/word/media/image21.png" ContentType="image/png"/>
  <Override PartName="/word/media/image20.png" ContentType="image/png"/>
  <Override PartName="/word/media/image17.png" ContentType="image/png"/>
  <Override PartName="/word/media/image16.png" ContentType="image/png"/>
  <Override PartName="/word/media/image34.png" ContentType="image/png"/>
  <Override PartName="/word/media/image55.png" ContentType="image/png"/>
  <Override PartName="/word/media/image54.png" ContentType="image/png"/>
  <Override PartName="/word/media/image10.png" ContentType="image/png"/>
  <Override PartName="/word/media/image53.png" ContentType="image/png"/>
  <Override PartName="/word/media/image1.jpeg" ContentType="image/jpeg"/>
  <Override PartName="/customXml/itemProps2.xml" ContentType="application/vnd.openxmlformats-officedocument.customXmlProperties+xml"/>
  <Override PartName="/customXml/itemProps3.xml" ContentType="application/vnd.openxmlformats-officedocument.customXmlProperties+xml"/>
  <Override PartName="/word/_rels/document.xml.rels" ContentType="application/vnd.openxmlformats-package.relationships+xml"/>
  <Override PartName="/customXml/itemProps4.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ind w:left="708" w:hanging="708"/>
        <w:rPr/>
      </w:pPr>
      <w:r>
        <w:rPr/>
        <w:drawing>
          <wp:anchor behindDoc="0" distT="0" distB="0" distL="0" distR="0" simplePos="0" locked="0" layoutInCell="1" allowOverlap="1" relativeHeight="79">
            <wp:simplePos x="0" y="0"/>
            <wp:positionH relativeFrom="column">
              <wp:posOffset>-1127760</wp:posOffset>
            </wp:positionH>
            <wp:positionV relativeFrom="page">
              <wp:posOffset>-47625</wp:posOffset>
            </wp:positionV>
            <wp:extent cx="7600950" cy="10751820"/>
            <wp:effectExtent l="0" t="0" r="0" b="0"/>
            <wp:wrapNone/>
            <wp:docPr id="1" name="Irudia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rudia 1" descr=""/>
                    <pic:cNvPicPr>
                      <a:picLocks noChangeAspect="1" noChangeArrowheads="1"/>
                    </pic:cNvPicPr>
                  </pic:nvPicPr>
                  <pic:blipFill>
                    <a:blip r:embed="rId2"/>
                    <a:stretch>
                      <a:fillRect/>
                    </a:stretch>
                  </pic:blipFill>
                  <pic:spPr bwMode="auto">
                    <a:xfrm>
                      <a:off x="0" y="0"/>
                      <a:ext cx="7600950" cy="10751820"/>
                    </a:xfrm>
                    <a:prstGeom prst="rect">
                      <a:avLst/>
                    </a:prstGeom>
                  </pic:spPr>
                </pic:pic>
              </a:graphicData>
            </a:graphic>
          </wp:anchor>
        </w:drawing>
      </w:r>
    </w:p>
    <w:sdt>
      <w:sdtPr>
        <w:docPartObj>
          <w:docPartGallery w:val="Table of Contents"/>
          <w:docPartUnique w:val="true"/>
        </w:docPartObj>
      </w:sdtPr>
      <w:sdtContent>
        <w:p>
          <w:pPr>
            <w:pStyle w:val="Ttulodelsumario"/>
            <w:spacing w:lineRule="auto" w:line="240"/>
            <w:ind w:left="0" w:hanging="0"/>
            <w:rPr>
              <w:sz w:val="36"/>
              <w:szCs w:val="36"/>
            </w:rPr>
          </w:pPr>
          <w:r>
            <w:br w:type="page"/>
          </w:r>
          <w:r>
            <w:rPr>
              <w:rStyle w:val="1izenburuaKar"/>
              <w:color w:val="auto"/>
            </w:rPr>
            <w:t>Aurkibidea</w:t>
          </w:r>
        </w:p>
        <w:p>
          <w:pPr>
            <w:pStyle w:val="Sumario1"/>
            <w:tabs>
              <w:tab w:val="clear" w:pos="708"/>
              <w:tab w:val="right" w:pos="8494" w:leader="dot"/>
            </w:tabs>
            <w:spacing w:lineRule="auto" w:line="240"/>
            <w:rPr>
              <w:rFonts w:ascii="Calibri" w:hAnsi="Calibri" w:eastAsia="" w:cs="" w:asciiTheme="minorHAnsi" w:cstheme="minorBidi" w:eastAsiaTheme="minorEastAsia" w:hAnsiTheme="minorHAnsi"/>
              <w:sz w:val="20"/>
              <w:szCs w:val="20"/>
              <w:lang w:eastAsia="eu-ES"/>
            </w:rPr>
          </w:pPr>
          <w:r>
            <w:fldChar w:fldCharType="begin"/>
          </w:r>
          <w:r>
            <w:rPr>
              <w:webHidden/>
              <w:rStyle w:val="Enlacedelndice"/>
              <w:sz w:val="20"/>
              <w:kern w:val="0"/>
              <w:szCs w:val="20"/>
              <w:lang w:eastAsia="eu-ES"/>
            </w:rPr>
            <w:instrText xml:space="preserve"> TOC \z \o "1-3" \u \h</w:instrText>
          </w:r>
          <w:r>
            <w:rPr>
              <w:webHidden/>
              <w:rStyle w:val="Enlacedelndice"/>
              <w:sz w:val="20"/>
              <w:kern w:val="0"/>
              <w:szCs w:val="20"/>
              <w:lang w:eastAsia="eu-ES"/>
            </w:rPr>
            <w:fldChar w:fldCharType="separate"/>
          </w:r>
          <w:hyperlink w:anchor="_Toc191031038">
            <w:r>
              <w:rPr>
                <w:webHidden/>
                <w:rStyle w:val="Enlacedelndice"/>
                <w:kern w:val="0"/>
                <w:sz w:val="20"/>
                <w:szCs w:val="20"/>
                <w:lang w:eastAsia="eu-ES"/>
                <w14:ligatures w14:val="none"/>
              </w:rPr>
              <w:t>Grafiko, taula eta irudien aurkibidea</w:t>
            </w:r>
            <w:r>
              <w:rPr>
                <w:webHidden/>
              </w:rPr>
              <w:fldChar w:fldCharType="begin"/>
            </w:r>
            <w:r>
              <w:rPr>
                <w:webHidden/>
              </w:rPr>
              <w:instrText xml:space="preserve">PAGEREF _Toc191031038 \h</w:instrText>
            </w:r>
            <w:r>
              <w:rPr>
                <w:webHidden/>
              </w:rPr>
              <w:fldChar w:fldCharType="separate"/>
            </w:r>
            <w:r>
              <w:rPr>
                <w:rStyle w:val="Enlacedelndice"/>
                <w:vanish w:val="false"/>
                <w:sz w:val="20"/>
                <w:szCs w:val="20"/>
              </w:rPr>
              <w:tab/>
              <w:t>3</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39">
            <w:r>
              <w:rPr>
                <w:webHidden/>
                <w:rStyle w:val="Enlacedelndice"/>
                <w:rFonts w:ascii="Montserrat" w:hAnsi="Montserrat"/>
                <w:b/>
                <w:bCs/>
                <w:sz w:val="18"/>
                <w:szCs w:val="18"/>
              </w:rPr>
              <w:t>1</w:t>
              <w:tab/>
              <w:t>Aurrekariak</w:t>
            </w:r>
            <w:r>
              <w:rPr>
                <w:webHidden/>
              </w:rPr>
              <w:fldChar w:fldCharType="begin"/>
            </w:r>
            <w:r>
              <w:rPr>
                <w:webHidden/>
              </w:rPr>
              <w:instrText xml:space="preserve">PAGEREF _Toc191031039 \h</w:instrText>
            </w:r>
            <w:r>
              <w:rPr>
                <w:webHidden/>
              </w:rPr>
              <w:fldChar w:fldCharType="separate"/>
            </w:r>
            <w:r>
              <w:rPr>
                <w:rStyle w:val="Enlacedelndice"/>
                <w:rFonts w:ascii="Montserrat" w:hAnsi="Montserrat"/>
                <w:b/>
                <w:bCs/>
                <w:vanish w:val="false"/>
                <w:sz w:val="18"/>
                <w:szCs w:val="18"/>
              </w:rPr>
              <w:tab/>
              <w:t>7</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40">
            <w:r>
              <w:rPr>
                <w:webHidden/>
                <w:rStyle w:val="Enlacedelndice"/>
                <w:rFonts w:ascii="Montserrat" w:hAnsi="Montserrat"/>
                <w:b/>
                <w:bCs/>
                <w:sz w:val="18"/>
                <w:szCs w:val="18"/>
              </w:rPr>
              <w:t>2</w:t>
              <w:tab/>
              <w:t>Demografia</w:t>
            </w:r>
            <w:r>
              <w:rPr>
                <w:webHidden/>
              </w:rPr>
              <w:fldChar w:fldCharType="begin"/>
            </w:r>
            <w:r>
              <w:rPr>
                <w:webHidden/>
              </w:rPr>
              <w:instrText xml:space="preserve">PAGEREF _Toc191031040 \h</w:instrText>
            </w:r>
            <w:r>
              <w:rPr>
                <w:webHidden/>
              </w:rPr>
              <w:fldChar w:fldCharType="separate"/>
            </w:r>
            <w:r>
              <w:rPr>
                <w:rStyle w:val="Enlacedelndice"/>
                <w:rFonts w:ascii="Montserrat" w:hAnsi="Montserrat"/>
                <w:b/>
                <w:bCs/>
                <w:vanish w:val="false"/>
                <w:sz w:val="18"/>
                <w:szCs w:val="18"/>
              </w:rPr>
              <w:tab/>
              <w:t>9</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1">
            <w:r>
              <w:rPr>
                <w:webHidden/>
                <w:rStyle w:val="Enlacedelndice"/>
                <w:sz w:val="20"/>
                <w:szCs w:val="20"/>
              </w:rPr>
              <w:t>2.1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_Toc191031041 \h</w:instrText>
            </w:r>
            <w:r>
              <w:rPr>
                <w:webHidden/>
              </w:rPr>
              <w:fldChar w:fldCharType="separate"/>
            </w:r>
            <w:r>
              <w:rPr>
                <w:rStyle w:val="Enlacedelndice"/>
                <w:vanish w:val="false"/>
                <w:sz w:val="20"/>
                <w:szCs w:val="20"/>
              </w:rPr>
              <w:tab/>
              <w:t>9</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2">
            <w:r>
              <w:rPr>
                <w:webHidden/>
                <w:rStyle w:val="Enlacedelndice"/>
                <w:sz w:val="20"/>
                <w:szCs w:val="20"/>
              </w:rPr>
              <w:t>2.2</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Biztanleriaren mugimendua</w:t>
            </w:r>
            <w:r>
              <w:rPr>
                <w:webHidden/>
              </w:rPr>
              <w:fldChar w:fldCharType="begin"/>
            </w:r>
            <w:r>
              <w:rPr>
                <w:webHidden/>
              </w:rPr>
              <w:instrText xml:space="preserve">PAGEREF _Toc191031042 \h</w:instrText>
            </w:r>
            <w:r>
              <w:rPr>
                <w:webHidden/>
              </w:rPr>
              <w:fldChar w:fldCharType="separate"/>
            </w:r>
            <w:r>
              <w:rPr>
                <w:rStyle w:val="Enlacedelndice"/>
                <w:vanish w:val="false"/>
                <w:sz w:val="20"/>
                <w:szCs w:val="20"/>
              </w:rPr>
              <w:tab/>
              <w:t>21</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3">
            <w:r>
              <w:rPr>
                <w:webHidden/>
                <w:rStyle w:val="Enlacedelndice"/>
                <w:sz w:val="20"/>
                <w:szCs w:val="20"/>
              </w:rPr>
              <w:t>2.3</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Prospektiba</w:t>
            </w:r>
            <w:r>
              <w:rPr>
                <w:webHidden/>
              </w:rPr>
              <w:fldChar w:fldCharType="begin"/>
            </w:r>
            <w:r>
              <w:rPr>
                <w:webHidden/>
              </w:rPr>
              <w:instrText xml:space="preserve">PAGEREF _Toc191031043 \h</w:instrText>
            </w:r>
            <w:r>
              <w:rPr>
                <w:webHidden/>
              </w:rPr>
              <w:fldChar w:fldCharType="separate"/>
            </w:r>
            <w:r>
              <w:rPr>
                <w:rStyle w:val="Enlacedelndice"/>
                <w:vanish w:val="false"/>
                <w:sz w:val="20"/>
                <w:szCs w:val="20"/>
              </w:rPr>
              <w:tab/>
              <w:t>30</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44">
            <w:r>
              <w:rPr>
                <w:webHidden/>
                <w:rStyle w:val="Enlacedelndice"/>
                <w:rFonts w:ascii="Montserrat" w:hAnsi="Montserrat"/>
                <w:b/>
                <w:bCs/>
                <w:sz w:val="18"/>
                <w:szCs w:val="18"/>
              </w:rPr>
              <w:t>3</w:t>
              <w:tab/>
              <w:t>Bizikidetza-unitateak</w:t>
            </w:r>
            <w:r>
              <w:rPr>
                <w:webHidden/>
              </w:rPr>
              <w:fldChar w:fldCharType="begin"/>
            </w:r>
            <w:r>
              <w:rPr>
                <w:webHidden/>
              </w:rPr>
              <w:instrText xml:space="preserve">PAGEREF _Toc191031044 \h</w:instrText>
            </w:r>
            <w:r>
              <w:rPr>
                <w:webHidden/>
              </w:rPr>
              <w:fldChar w:fldCharType="separate"/>
            </w:r>
            <w:r>
              <w:rPr>
                <w:rStyle w:val="Enlacedelndice"/>
                <w:rFonts w:ascii="Montserrat" w:hAnsi="Montserrat"/>
                <w:b/>
                <w:bCs/>
                <w:vanish w:val="false"/>
                <w:sz w:val="18"/>
                <w:szCs w:val="18"/>
              </w:rPr>
              <w:tab/>
              <w:t>33</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5">
            <w:r>
              <w:rPr>
                <w:webHidden/>
                <w:rStyle w:val="Enlacedelndice"/>
                <w:sz w:val="20"/>
                <w:szCs w:val="20"/>
              </w:rPr>
              <w:t>3.1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_Toc191031045 \h</w:instrText>
            </w:r>
            <w:r>
              <w:rPr>
                <w:webHidden/>
              </w:rPr>
              <w:fldChar w:fldCharType="separate"/>
            </w:r>
            <w:r>
              <w:rPr>
                <w:rStyle w:val="Enlacedelndice"/>
                <w:vanish w:val="false"/>
                <w:sz w:val="20"/>
                <w:szCs w:val="20"/>
              </w:rPr>
              <w:tab/>
              <w:t>33</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6">
            <w:r>
              <w:rPr>
                <w:webHidden/>
                <w:rStyle w:val="Enlacedelndice"/>
                <w:sz w:val="20"/>
                <w:szCs w:val="20"/>
              </w:rPr>
              <w:t>3.2</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Emantzipazio maila</w:t>
            </w:r>
            <w:r>
              <w:rPr>
                <w:webHidden/>
              </w:rPr>
              <w:fldChar w:fldCharType="begin"/>
            </w:r>
            <w:r>
              <w:rPr>
                <w:webHidden/>
              </w:rPr>
              <w:instrText xml:space="preserve">PAGEREF _Toc191031046 \h</w:instrText>
            </w:r>
            <w:r>
              <w:rPr>
                <w:webHidden/>
              </w:rPr>
              <w:fldChar w:fldCharType="separate"/>
            </w:r>
            <w:r>
              <w:rPr>
                <w:rStyle w:val="Enlacedelndice"/>
                <w:vanish w:val="false"/>
                <w:sz w:val="20"/>
                <w:szCs w:val="20"/>
              </w:rPr>
              <w:tab/>
              <w:t>39</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7">
            <w:r>
              <w:rPr>
                <w:webHidden/>
                <w:rStyle w:val="Enlacedelndice"/>
                <w:sz w:val="20"/>
                <w:szCs w:val="20"/>
              </w:rPr>
              <w:t>3.3</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Prospektiba</w:t>
            </w:r>
            <w:r>
              <w:rPr>
                <w:webHidden/>
              </w:rPr>
              <w:fldChar w:fldCharType="begin"/>
            </w:r>
            <w:r>
              <w:rPr>
                <w:webHidden/>
              </w:rPr>
              <w:instrText xml:space="preserve">PAGEREF _Toc191031047 \h</w:instrText>
            </w:r>
            <w:r>
              <w:rPr>
                <w:webHidden/>
              </w:rPr>
              <w:fldChar w:fldCharType="separate"/>
            </w:r>
            <w:r>
              <w:rPr>
                <w:rStyle w:val="Enlacedelndice"/>
                <w:vanish w:val="false"/>
                <w:sz w:val="20"/>
                <w:szCs w:val="20"/>
              </w:rPr>
              <w:tab/>
              <w:t>42</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48">
            <w:r>
              <w:rPr>
                <w:webHidden/>
                <w:rStyle w:val="Enlacedelndice"/>
                <w:rFonts w:ascii="Montserrat" w:hAnsi="Montserrat"/>
                <w:b/>
                <w:bCs/>
                <w:sz w:val="18"/>
                <w:szCs w:val="18"/>
              </w:rPr>
              <w:t>4</w:t>
              <w:tab/>
              <w:t>Ezaugarri sozioekonomikoak</w:t>
            </w:r>
            <w:r>
              <w:rPr>
                <w:webHidden/>
              </w:rPr>
              <w:fldChar w:fldCharType="begin"/>
            </w:r>
            <w:r>
              <w:rPr>
                <w:webHidden/>
              </w:rPr>
              <w:instrText xml:space="preserve">PAGEREF _Toc191031048 \h</w:instrText>
            </w:r>
            <w:r>
              <w:rPr>
                <w:webHidden/>
              </w:rPr>
              <w:fldChar w:fldCharType="separate"/>
            </w:r>
            <w:r>
              <w:rPr>
                <w:rStyle w:val="Enlacedelndice"/>
                <w:rFonts w:ascii="Montserrat" w:hAnsi="Montserrat"/>
                <w:b/>
                <w:bCs/>
                <w:vanish w:val="false"/>
                <w:sz w:val="18"/>
                <w:szCs w:val="18"/>
              </w:rPr>
              <w:tab/>
              <w:t>44</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49">
            <w:r>
              <w:rPr>
                <w:webHidden/>
                <w:rStyle w:val="Enlacedelndice"/>
                <w:sz w:val="20"/>
                <w:szCs w:val="20"/>
              </w:rPr>
              <w:t>4.1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_Toc191031049 \h</w:instrText>
            </w:r>
            <w:r>
              <w:rPr>
                <w:webHidden/>
              </w:rPr>
              <w:fldChar w:fldCharType="separate"/>
            </w:r>
            <w:r>
              <w:rPr>
                <w:rStyle w:val="Enlacedelndice"/>
                <w:vanish w:val="false"/>
                <w:sz w:val="20"/>
                <w:szCs w:val="20"/>
              </w:rPr>
              <w:tab/>
              <w:t>44</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50">
            <w:r>
              <w:rPr>
                <w:webHidden/>
                <w:rStyle w:val="Enlacedelndice"/>
                <w:rFonts w:ascii="Montserrat" w:hAnsi="Montserrat"/>
                <w:b/>
                <w:bCs/>
                <w:sz w:val="18"/>
                <w:szCs w:val="18"/>
              </w:rPr>
              <w:t>5</w:t>
              <w:tab/>
              <w:t>Etxebizitza parkea</w:t>
            </w:r>
            <w:r>
              <w:rPr>
                <w:webHidden/>
              </w:rPr>
              <w:fldChar w:fldCharType="begin"/>
            </w:r>
            <w:r>
              <w:rPr>
                <w:webHidden/>
              </w:rPr>
              <w:instrText xml:space="preserve">PAGEREF _Toc191031050 \h</w:instrText>
            </w:r>
            <w:r>
              <w:rPr>
                <w:webHidden/>
              </w:rPr>
              <w:fldChar w:fldCharType="separate"/>
            </w:r>
            <w:r>
              <w:rPr>
                <w:rStyle w:val="Enlacedelndice"/>
                <w:rFonts w:ascii="Montserrat" w:hAnsi="Montserrat"/>
                <w:b/>
                <w:bCs/>
                <w:vanish w:val="false"/>
                <w:sz w:val="18"/>
                <w:szCs w:val="18"/>
              </w:rPr>
              <w:tab/>
              <w:t>55</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51">
            <w:r>
              <w:rPr>
                <w:webHidden/>
                <w:rStyle w:val="Enlacedelndice"/>
                <w:sz w:val="20"/>
                <w:szCs w:val="20"/>
              </w:rPr>
              <w:t>5.1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_Toc191031051 \h</w:instrText>
            </w:r>
            <w:r>
              <w:rPr>
                <w:webHidden/>
              </w:rPr>
              <w:fldChar w:fldCharType="separate"/>
            </w:r>
            <w:r>
              <w:rPr>
                <w:rStyle w:val="Enlacedelndice"/>
                <w:vanish w:val="false"/>
                <w:sz w:val="20"/>
                <w:szCs w:val="20"/>
              </w:rPr>
              <w:tab/>
              <w:t>55</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52">
            <w:r>
              <w:rPr>
                <w:webHidden/>
                <w:rStyle w:val="Enlacedelndice"/>
                <w:sz w:val="20"/>
                <w:szCs w:val="20"/>
              </w:rPr>
              <w:t>5.2</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Erabilera-maila</w:t>
            </w:r>
            <w:r>
              <w:rPr>
                <w:webHidden/>
              </w:rPr>
              <w:fldChar w:fldCharType="begin"/>
            </w:r>
            <w:r>
              <w:rPr>
                <w:webHidden/>
              </w:rPr>
              <w:instrText xml:space="preserve">PAGEREF _Toc191031052 \h</w:instrText>
            </w:r>
            <w:r>
              <w:rPr>
                <w:webHidden/>
              </w:rPr>
              <w:fldChar w:fldCharType="separate"/>
            </w:r>
            <w:r>
              <w:rPr>
                <w:rStyle w:val="Enlacedelndice"/>
                <w:vanish w:val="false"/>
                <w:sz w:val="20"/>
                <w:szCs w:val="20"/>
              </w:rPr>
              <w:tab/>
              <w:t>62</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53">
            <w:r>
              <w:rPr>
                <w:webHidden/>
                <w:rStyle w:val="Enlacedelndice"/>
                <w:rFonts w:ascii="Montserrat" w:hAnsi="Montserrat"/>
                <w:b/>
                <w:bCs/>
                <w:sz w:val="18"/>
                <w:szCs w:val="18"/>
              </w:rPr>
              <w:t>6</w:t>
              <w:tab/>
              <w:t>Etxebizitza beharrak eta eskaria</w:t>
            </w:r>
            <w:r>
              <w:rPr>
                <w:webHidden/>
              </w:rPr>
              <w:fldChar w:fldCharType="begin"/>
            </w:r>
            <w:r>
              <w:rPr>
                <w:webHidden/>
              </w:rPr>
              <w:instrText xml:space="preserve">PAGEREF _Toc191031053 \h</w:instrText>
            </w:r>
            <w:r>
              <w:rPr>
                <w:webHidden/>
              </w:rPr>
              <w:fldChar w:fldCharType="separate"/>
            </w:r>
            <w:r>
              <w:rPr>
                <w:rStyle w:val="Enlacedelndice"/>
                <w:rFonts w:ascii="Montserrat" w:hAnsi="Montserrat"/>
                <w:b/>
                <w:bCs/>
                <w:vanish w:val="false"/>
                <w:sz w:val="18"/>
                <w:szCs w:val="18"/>
              </w:rPr>
              <w:tab/>
              <w:t>65</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54">
            <w:r>
              <w:rPr>
                <w:webHidden/>
                <w:rStyle w:val="Enlacedelndice"/>
                <w:sz w:val="20"/>
                <w:szCs w:val="20"/>
              </w:rPr>
              <w:t>6.1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_Toc191031054 \h</w:instrText>
            </w:r>
            <w:r>
              <w:rPr>
                <w:webHidden/>
              </w:rPr>
              <w:fldChar w:fldCharType="separate"/>
            </w:r>
            <w:r>
              <w:rPr>
                <w:rStyle w:val="Enlacedelndice"/>
                <w:vanish w:val="false"/>
                <w:sz w:val="20"/>
                <w:szCs w:val="20"/>
              </w:rPr>
              <w:tab/>
              <w:t>65</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55">
            <w:r>
              <w:rPr>
                <w:webHidden/>
                <w:rStyle w:val="Enlacedelndice"/>
                <w:rFonts w:ascii="Montserrat" w:hAnsi="Montserrat"/>
                <w:b/>
                <w:bCs/>
                <w:sz w:val="18"/>
                <w:szCs w:val="18"/>
              </w:rPr>
              <w:t>7</w:t>
              <w:tab/>
              <w:t>Erosketa erregimeneko etxebizitza merkatua</w:t>
            </w:r>
            <w:r>
              <w:rPr>
                <w:webHidden/>
              </w:rPr>
              <w:fldChar w:fldCharType="begin"/>
            </w:r>
            <w:r>
              <w:rPr>
                <w:webHidden/>
              </w:rPr>
              <w:instrText xml:space="preserve">PAGEREF _Toc191031055 \h</w:instrText>
            </w:r>
            <w:r>
              <w:rPr>
                <w:webHidden/>
              </w:rPr>
              <w:fldChar w:fldCharType="separate"/>
            </w:r>
            <w:r>
              <w:rPr>
                <w:rStyle w:val="Enlacedelndice"/>
                <w:rFonts w:ascii="Montserrat" w:hAnsi="Montserrat"/>
                <w:b/>
                <w:bCs/>
                <w:vanish w:val="false"/>
                <w:sz w:val="18"/>
                <w:szCs w:val="18"/>
              </w:rPr>
              <w:tab/>
              <w:t>70</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56">
            <w:r>
              <w:rPr>
                <w:webHidden/>
                <w:rStyle w:val="Enlacedelndice"/>
                <w:sz w:val="20"/>
                <w:szCs w:val="20"/>
              </w:rPr>
              <w:t>7.1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_Toc191031056 \h</w:instrText>
            </w:r>
            <w:r>
              <w:rPr>
                <w:webHidden/>
              </w:rPr>
              <w:fldChar w:fldCharType="separate"/>
            </w:r>
            <w:r>
              <w:rPr>
                <w:rStyle w:val="Enlacedelndice"/>
                <w:vanish w:val="false"/>
                <w:sz w:val="20"/>
                <w:szCs w:val="20"/>
              </w:rPr>
              <w:tab/>
              <w:t>70</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57">
            <w:r>
              <w:rPr>
                <w:webHidden/>
                <w:rStyle w:val="Enlacedelndice"/>
                <w:rFonts w:ascii="Montserrat" w:hAnsi="Montserrat"/>
                <w:b/>
                <w:bCs/>
                <w:sz w:val="18"/>
                <w:szCs w:val="18"/>
              </w:rPr>
              <w:t>8</w:t>
              <w:tab/>
              <w:t>Alokairu erregimeneko etxebizitza merkatua</w:t>
            </w:r>
            <w:r>
              <w:rPr>
                <w:webHidden/>
              </w:rPr>
              <w:fldChar w:fldCharType="begin"/>
            </w:r>
            <w:r>
              <w:rPr>
                <w:webHidden/>
              </w:rPr>
              <w:instrText xml:space="preserve">PAGEREF _Toc191031057 \h</w:instrText>
            </w:r>
            <w:r>
              <w:rPr>
                <w:webHidden/>
              </w:rPr>
              <w:fldChar w:fldCharType="separate"/>
            </w:r>
            <w:r>
              <w:rPr>
                <w:rStyle w:val="Enlacedelndice"/>
                <w:rFonts w:ascii="Montserrat" w:hAnsi="Montserrat"/>
                <w:b/>
                <w:bCs/>
                <w:vanish w:val="false"/>
                <w:sz w:val="18"/>
                <w:szCs w:val="18"/>
              </w:rPr>
              <w:tab/>
              <w:t>75</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58">
            <w:r>
              <w:rPr>
                <w:webHidden/>
                <w:rStyle w:val="Enlacedelndice"/>
                <w:sz w:val="20"/>
                <w:szCs w:val="20"/>
              </w:rPr>
              <w:t>8.1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_Toc191031058 \h</w:instrText>
            </w:r>
            <w:r>
              <w:rPr>
                <w:webHidden/>
              </w:rPr>
              <w:fldChar w:fldCharType="separate"/>
            </w:r>
            <w:r>
              <w:rPr>
                <w:rStyle w:val="Enlacedelndice"/>
                <w:vanish w:val="false"/>
                <w:sz w:val="20"/>
                <w:szCs w:val="20"/>
              </w:rPr>
              <w:tab/>
              <w:t>75</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59">
            <w:r>
              <w:rPr>
                <w:webHidden/>
                <w:rStyle w:val="Enlacedelndice"/>
                <w:rFonts w:ascii="Montserrat" w:hAnsi="Montserrat"/>
                <w:b/>
                <w:bCs/>
                <w:sz w:val="18"/>
                <w:szCs w:val="18"/>
              </w:rPr>
              <w:t>9</w:t>
              <w:tab/>
              <w:t>Etxebizitza-programen eta -politiken intzidentzia</w:t>
            </w:r>
            <w:r>
              <w:rPr>
                <w:webHidden/>
              </w:rPr>
              <w:fldChar w:fldCharType="begin"/>
            </w:r>
            <w:r>
              <w:rPr>
                <w:webHidden/>
              </w:rPr>
              <w:instrText xml:space="preserve">PAGEREF _Toc191031059 \h</w:instrText>
            </w:r>
            <w:r>
              <w:rPr>
                <w:webHidden/>
              </w:rPr>
              <w:fldChar w:fldCharType="separate"/>
            </w:r>
            <w:r>
              <w:rPr>
                <w:rStyle w:val="Enlacedelndice"/>
                <w:rFonts w:ascii="Montserrat" w:hAnsi="Montserrat"/>
                <w:b/>
                <w:bCs/>
                <w:vanish w:val="false"/>
                <w:sz w:val="18"/>
                <w:szCs w:val="18"/>
              </w:rPr>
              <w:tab/>
              <w:t>81</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0">
            <w:r>
              <w:rPr>
                <w:webHidden/>
                <w:rStyle w:val="Enlacedelndice"/>
                <w:sz w:val="20"/>
                <w:szCs w:val="20"/>
              </w:rPr>
              <w:t>9.1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Aldagai nagusiak</w:t>
            </w:r>
            <w:r>
              <w:rPr>
                <w:webHidden/>
              </w:rPr>
              <w:fldChar w:fldCharType="begin"/>
            </w:r>
            <w:r>
              <w:rPr>
                <w:webHidden/>
              </w:rPr>
              <w:instrText xml:space="preserve">PAGEREF _Toc191031060 \h</w:instrText>
            </w:r>
            <w:r>
              <w:rPr>
                <w:webHidden/>
              </w:rPr>
              <w:fldChar w:fldCharType="separate"/>
            </w:r>
            <w:r>
              <w:rPr>
                <w:rStyle w:val="Enlacedelndice"/>
                <w:vanish w:val="false"/>
                <w:sz w:val="20"/>
                <w:szCs w:val="20"/>
              </w:rPr>
              <w:tab/>
              <w:t>81</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b/>
              <w:bCs/>
              <w:sz w:val="18"/>
              <w:szCs w:val="18"/>
            </w:rPr>
          </w:pPr>
          <w:hyperlink w:anchor="_Toc191031061">
            <w:r>
              <w:rPr>
                <w:webHidden/>
                <w:rStyle w:val="Enlacedelndice"/>
                <w:rFonts w:ascii="Montserrat" w:hAnsi="Montserrat"/>
                <w:b/>
                <w:bCs/>
                <w:sz w:val="18"/>
                <w:szCs w:val="18"/>
              </w:rPr>
              <w:t>10</w:t>
              <w:tab/>
              <w:t>Tentsio eremu izendapenaren justifikazioa</w:t>
            </w:r>
            <w:r>
              <w:rPr>
                <w:webHidden/>
              </w:rPr>
              <w:fldChar w:fldCharType="begin"/>
            </w:r>
            <w:r>
              <w:rPr>
                <w:webHidden/>
              </w:rPr>
              <w:instrText xml:space="preserve">PAGEREF _Toc191031061 \h</w:instrText>
            </w:r>
            <w:r>
              <w:rPr>
                <w:webHidden/>
              </w:rPr>
              <w:fldChar w:fldCharType="separate"/>
            </w:r>
            <w:r>
              <w:rPr>
                <w:rStyle w:val="Enlacedelndice"/>
                <w:rFonts w:ascii="Montserrat" w:hAnsi="Montserrat"/>
                <w:b/>
                <w:bCs/>
                <w:vanish w:val="false"/>
                <w:sz w:val="18"/>
                <w:szCs w:val="18"/>
              </w:rPr>
              <w:tab/>
              <w:t>84</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2">
            <w:r>
              <w:rPr>
                <w:webHidden/>
                <w:rStyle w:val="Enlacedelndice"/>
                <w:sz w:val="20"/>
                <w:szCs w:val="20"/>
              </w:rPr>
              <w:t>10.1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Lehen Irizpidea: alokairu-errentaren igoera</w:t>
            </w:r>
            <w:r>
              <w:rPr>
                <w:webHidden/>
              </w:rPr>
              <w:fldChar w:fldCharType="begin"/>
            </w:r>
            <w:r>
              <w:rPr>
                <w:webHidden/>
              </w:rPr>
              <w:instrText xml:space="preserve">PAGEREF _Toc191031062 \h</w:instrText>
            </w:r>
            <w:r>
              <w:rPr>
                <w:webHidden/>
              </w:rPr>
              <w:fldChar w:fldCharType="separate"/>
            </w:r>
            <w:r>
              <w:rPr>
                <w:rStyle w:val="Enlacedelndice"/>
                <w:vanish w:val="false"/>
                <w:sz w:val="20"/>
                <w:szCs w:val="20"/>
              </w:rPr>
              <w:tab/>
              <w:t>84</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3">
            <w:r>
              <w:rPr>
                <w:webHidden/>
                <w:rStyle w:val="Enlacedelndice"/>
                <w:sz w:val="20"/>
                <w:szCs w:val="20"/>
              </w:rPr>
              <w:t>10.2</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Bigarren irizpidea: etxebizitza ordaintzeko ahalegin ekonomikoa</w:t>
            </w:r>
            <w:r>
              <w:rPr>
                <w:webHidden/>
              </w:rPr>
              <w:fldChar w:fldCharType="begin"/>
            </w:r>
            <w:r>
              <w:rPr>
                <w:webHidden/>
              </w:rPr>
              <w:instrText xml:space="preserve">PAGEREF _Toc191031063 \h</w:instrText>
            </w:r>
            <w:r>
              <w:rPr>
                <w:webHidden/>
              </w:rPr>
              <w:fldChar w:fldCharType="separate"/>
            </w:r>
            <w:r>
              <w:rPr>
                <w:rStyle w:val="Enlacedelndice"/>
                <w:vanish w:val="false"/>
                <w:sz w:val="20"/>
                <w:szCs w:val="20"/>
              </w:rPr>
              <w:tab/>
              <w:t>87</w:t>
            </w:r>
            <w:r>
              <w:rPr>
                <w:webHidden/>
              </w:rPr>
              <w:fldChar w:fldCharType="end"/>
            </w:r>
          </w:hyperlink>
        </w:p>
        <w:p>
          <w:pPr>
            <w:pStyle w:val="Sumario1"/>
            <w:tabs>
              <w:tab w:val="clear" w:pos="708"/>
              <w:tab w:val="left" w:pos="72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4">
            <w:r>
              <w:rPr>
                <w:webHidden/>
                <w:rStyle w:val="Enlacedelndice"/>
                <w:rFonts w:ascii="Montserrat" w:hAnsi="Montserrat"/>
                <w:b/>
                <w:bCs/>
                <w:sz w:val="18"/>
                <w:szCs w:val="18"/>
              </w:rPr>
              <w:t>11</w:t>
              <w:tab/>
              <w:t>Ondorioak</w:t>
            </w:r>
            <w:r>
              <w:rPr>
                <w:webHidden/>
              </w:rPr>
              <w:fldChar w:fldCharType="begin"/>
            </w:r>
            <w:r>
              <w:rPr>
                <w:webHidden/>
              </w:rPr>
              <w:instrText xml:space="preserve">PAGEREF _Toc191031064 \h</w:instrText>
            </w:r>
            <w:r>
              <w:rPr>
                <w:webHidden/>
              </w:rPr>
              <w:fldChar w:fldCharType="separate"/>
            </w:r>
            <w:r>
              <w:rPr>
                <w:rStyle w:val="Enlacedelndice"/>
                <w:rFonts w:ascii="Montserrat" w:hAnsi="Montserrat"/>
                <w:b/>
                <w:bCs/>
                <w:vanish w:val="false"/>
                <w:sz w:val="18"/>
                <w:szCs w:val="18"/>
              </w:rPr>
              <w:tab/>
              <w:t>89</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5">
            <w:r>
              <w:rPr>
                <w:webHidden/>
                <w:rStyle w:val="Enlacedelndice"/>
                <w:sz w:val="20"/>
                <w:szCs w:val="20"/>
              </w:rPr>
              <w:t>11.1</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Demografia</w:t>
            </w:r>
            <w:r>
              <w:rPr>
                <w:webHidden/>
              </w:rPr>
              <w:fldChar w:fldCharType="begin"/>
            </w:r>
            <w:r>
              <w:rPr>
                <w:webHidden/>
              </w:rPr>
              <w:instrText xml:space="preserve">PAGEREF _Toc191031065 \h</w:instrText>
            </w:r>
            <w:r>
              <w:rPr>
                <w:webHidden/>
              </w:rPr>
              <w:fldChar w:fldCharType="separate"/>
            </w:r>
            <w:r>
              <w:rPr>
                <w:rStyle w:val="Enlacedelndice"/>
                <w:vanish w:val="false"/>
                <w:sz w:val="20"/>
                <w:szCs w:val="20"/>
              </w:rPr>
              <w:tab/>
              <w:t>89</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6">
            <w:r>
              <w:rPr>
                <w:webHidden/>
                <w:rStyle w:val="Enlacedelndice"/>
                <w:sz w:val="20"/>
                <w:szCs w:val="20"/>
              </w:rPr>
              <w:t>11.2</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Bizikidetza-unitateak</w:t>
            </w:r>
            <w:r>
              <w:rPr>
                <w:webHidden/>
              </w:rPr>
              <w:fldChar w:fldCharType="begin"/>
            </w:r>
            <w:r>
              <w:rPr>
                <w:webHidden/>
              </w:rPr>
              <w:instrText xml:space="preserve">PAGEREF _Toc191031066 \h</w:instrText>
            </w:r>
            <w:r>
              <w:rPr>
                <w:webHidden/>
              </w:rPr>
              <w:fldChar w:fldCharType="separate"/>
            </w:r>
            <w:r>
              <w:rPr>
                <w:rStyle w:val="Enlacedelndice"/>
                <w:vanish w:val="false"/>
                <w:sz w:val="20"/>
                <w:szCs w:val="20"/>
              </w:rPr>
              <w:tab/>
              <w:t>90</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7">
            <w:r>
              <w:rPr>
                <w:webHidden/>
                <w:rStyle w:val="Enlacedelndice"/>
                <w:sz w:val="20"/>
                <w:szCs w:val="20"/>
              </w:rPr>
              <w:t>11.3</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Ezaugarri sozioekonomikoak</w:t>
            </w:r>
            <w:r>
              <w:rPr>
                <w:webHidden/>
              </w:rPr>
              <w:fldChar w:fldCharType="begin"/>
            </w:r>
            <w:r>
              <w:rPr>
                <w:webHidden/>
              </w:rPr>
              <w:instrText xml:space="preserve">PAGEREF _Toc191031067 \h</w:instrText>
            </w:r>
            <w:r>
              <w:rPr>
                <w:webHidden/>
              </w:rPr>
              <w:fldChar w:fldCharType="separate"/>
            </w:r>
            <w:r>
              <w:rPr>
                <w:rStyle w:val="Enlacedelndice"/>
                <w:vanish w:val="false"/>
                <w:sz w:val="20"/>
                <w:szCs w:val="20"/>
              </w:rPr>
              <w:tab/>
              <w:t>91</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8">
            <w:r>
              <w:rPr>
                <w:webHidden/>
                <w:rStyle w:val="Enlacedelndice"/>
                <w:sz w:val="20"/>
                <w:szCs w:val="20"/>
              </w:rPr>
              <w:t>11.4</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Etxebizitza parkea</w:t>
            </w:r>
            <w:r>
              <w:rPr>
                <w:webHidden/>
              </w:rPr>
              <w:fldChar w:fldCharType="begin"/>
            </w:r>
            <w:r>
              <w:rPr>
                <w:webHidden/>
              </w:rPr>
              <w:instrText xml:space="preserve">PAGEREF _Toc191031068 \h</w:instrText>
            </w:r>
            <w:r>
              <w:rPr>
                <w:webHidden/>
              </w:rPr>
              <w:fldChar w:fldCharType="separate"/>
            </w:r>
            <w:r>
              <w:rPr>
                <w:rStyle w:val="Enlacedelndice"/>
                <w:vanish w:val="false"/>
                <w:sz w:val="20"/>
                <w:szCs w:val="20"/>
              </w:rPr>
              <w:tab/>
              <w:t>91</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69">
            <w:r>
              <w:rPr>
                <w:webHidden/>
                <w:rStyle w:val="Enlacedelndice"/>
                <w:sz w:val="20"/>
                <w:szCs w:val="20"/>
              </w:rPr>
              <w:t>11.5</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Etxebizitza beharrak eta eskaria</w:t>
            </w:r>
            <w:r>
              <w:rPr>
                <w:webHidden/>
              </w:rPr>
              <w:fldChar w:fldCharType="begin"/>
            </w:r>
            <w:r>
              <w:rPr>
                <w:webHidden/>
              </w:rPr>
              <w:instrText xml:space="preserve">PAGEREF _Toc191031069 \h</w:instrText>
            </w:r>
            <w:r>
              <w:rPr>
                <w:webHidden/>
              </w:rPr>
              <w:fldChar w:fldCharType="separate"/>
            </w:r>
            <w:r>
              <w:rPr>
                <w:rStyle w:val="Enlacedelndice"/>
                <w:vanish w:val="false"/>
                <w:sz w:val="20"/>
                <w:szCs w:val="20"/>
              </w:rPr>
              <w:tab/>
              <w:t>92</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70">
            <w:r>
              <w:rPr>
                <w:webHidden/>
                <w:rStyle w:val="Enlacedelndice"/>
                <w:sz w:val="20"/>
                <w:szCs w:val="20"/>
              </w:rPr>
              <w:t>11.6</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Erosketa erregimeneko etxebizitza merkatua</w:t>
            </w:r>
            <w:r>
              <w:rPr>
                <w:webHidden/>
              </w:rPr>
              <w:fldChar w:fldCharType="begin"/>
            </w:r>
            <w:r>
              <w:rPr>
                <w:webHidden/>
              </w:rPr>
              <w:instrText xml:space="preserve">PAGEREF _Toc191031070 \h</w:instrText>
            </w:r>
            <w:r>
              <w:rPr>
                <w:webHidden/>
              </w:rPr>
              <w:fldChar w:fldCharType="separate"/>
            </w:r>
            <w:r>
              <w:rPr>
                <w:rStyle w:val="Enlacedelndice"/>
                <w:vanish w:val="false"/>
                <w:sz w:val="20"/>
                <w:szCs w:val="20"/>
              </w:rPr>
              <w:tab/>
              <w:t>92</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71">
            <w:r>
              <w:rPr>
                <w:webHidden/>
                <w:rStyle w:val="Enlacedelndice"/>
                <w:sz w:val="20"/>
                <w:szCs w:val="20"/>
              </w:rPr>
              <w:t>11.7</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Alokairu erregimeneko etxebizitza merkatua</w:t>
            </w:r>
            <w:r>
              <w:rPr>
                <w:webHidden/>
              </w:rPr>
              <w:fldChar w:fldCharType="begin"/>
            </w:r>
            <w:r>
              <w:rPr>
                <w:webHidden/>
              </w:rPr>
              <w:instrText xml:space="preserve">PAGEREF _Toc191031071 \h</w:instrText>
            </w:r>
            <w:r>
              <w:rPr>
                <w:webHidden/>
              </w:rPr>
              <w:fldChar w:fldCharType="separate"/>
            </w:r>
            <w:r>
              <w:rPr>
                <w:rStyle w:val="Enlacedelndice"/>
                <w:vanish w:val="false"/>
                <w:sz w:val="20"/>
                <w:szCs w:val="20"/>
              </w:rPr>
              <w:tab/>
              <w:t>92</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72">
            <w:r>
              <w:rPr>
                <w:webHidden/>
                <w:rStyle w:val="Enlacedelndice"/>
                <w:sz w:val="20"/>
                <w:szCs w:val="20"/>
              </w:rPr>
              <w:t>11.8</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Etxebizitza-programen eta politiken intzidentzia</w:t>
            </w:r>
            <w:r>
              <w:rPr>
                <w:webHidden/>
              </w:rPr>
              <w:fldChar w:fldCharType="begin"/>
            </w:r>
            <w:r>
              <w:rPr>
                <w:webHidden/>
              </w:rPr>
              <w:instrText xml:space="preserve">PAGEREF _Toc191031072 \h</w:instrText>
            </w:r>
            <w:r>
              <w:rPr>
                <w:webHidden/>
              </w:rPr>
              <w:fldChar w:fldCharType="separate"/>
            </w:r>
            <w:r>
              <w:rPr>
                <w:rStyle w:val="Enlacedelndice"/>
                <w:vanish w:val="false"/>
                <w:sz w:val="20"/>
                <w:szCs w:val="20"/>
              </w:rPr>
              <w:tab/>
              <w:t>93</w:t>
            </w:r>
            <w:r>
              <w:rPr>
                <w:webHidden/>
              </w:rPr>
              <w:fldChar w:fldCharType="end"/>
            </w:r>
          </w:hyperlink>
        </w:p>
        <w:p>
          <w:pPr>
            <w:pStyle w:val="Sumario2"/>
            <w:tabs>
              <w:tab w:val="clear" w:pos="708"/>
              <w:tab w:val="left" w:pos="960" w:leader="none"/>
              <w:tab w:val="right" w:pos="8494" w:leader="dot"/>
            </w:tabs>
            <w:spacing w:lineRule="auto" w:line="240"/>
            <w:rPr>
              <w:rFonts w:ascii="Calibri" w:hAnsi="Calibri" w:eastAsia="" w:cs="" w:asciiTheme="minorHAnsi" w:cstheme="minorBidi" w:eastAsiaTheme="minorEastAsia" w:hAnsiTheme="minorHAnsi"/>
              <w:sz w:val="20"/>
              <w:szCs w:val="20"/>
              <w:lang w:eastAsia="eu-ES"/>
            </w:rPr>
          </w:pPr>
          <w:hyperlink w:anchor="_Toc191031073">
            <w:r>
              <w:rPr>
                <w:webHidden/>
                <w:rStyle w:val="Enlacedelndice"/>
                <w:sz w:val="20"/>
                <w:szCs w:val="20"/>
              </w:rPr>
              <w:t>11.9</w:t>
            </w:r>
            <w:r>
              <w:rPr>
                <w:rStyle w:val="Enlacedelndice"/>
                <w:rFonts w:eastAsia="" w:cs="" w:ascii="Calibri" w:hAnsi="Calibri" w:asciiTheme="minorHAnsi" w:cstheme="minorBidi" w:eastAsiaTheme="minorEastAsia" w:hAnsiTheme="minorHAnsi"/>
                <w:sz w:val="20"/>
                <w:szCs w:val="20"/>
                <w:lang w:eastAsia="eu-ES"/>
              </w:rPr>
              <w:tab/>
            </w:r>
            <w:r>
              <w:rPr>
                <w:rStyle w:val="Enlacedelndice"/>
                <w:sz w:val="20"/>
                <w:szCs w:val="20"/>
              </w:rPr>
              <w:t>Tentsio eremu izendapenaren justifikazioa</w:t>
            </w:r>
            <w:r>
              <w:rPr>
                <w:webHidden/>
              </w:rPr>
              <w:fldChar w:fldCharType="begin"/>
            </w:r>
            <w:r>
              <w:rPr>
                <w:webHidden/>
              </w:rPr>
              <w:instrText xml:space="preserve">PAGEREF _Toc191031073 \h</w:instrText>
            </w:r>
            <w:r>
              <w:rPr>
                <w:webHidden/>
              </w:rPr>
              <w:fldChar w:fldCharType="separate"/>
            </w:r>
            <w:r>
              <w:rPr>
                <w:rStyle w:val="Enlacedelndice"/>
                <w:vanish w:val="false"/>
                <w:sz w:val="20"/>
                <w:szCs w:val="20"/>
              </w:rPr>
              <w:tab/>
              <w:t>93</w:t>
            </w:r>
            <w:r>
              <w:rPr>
                <w:webHidden/>
              </w:rPr>
              <w:fldChar w:fldCharType="end"/>
            </w:r>
          </w:hyperlink>
        </w:p>
        <w:p>
          <w:pPr>
            <w:pStyle w:val="Sumario1"/>
            <w:tabs>
              <w:tab w:val="clear" w:pos="708"/>
              <w:tab w:val="left" w:pos="720" w:leader="none"/>
              <w:tab w:val="right" w:pos="8494" w:leader="dot"/>
            </w:tabs>
            <w:spacing w:lineRule="auto" w:line="240"/>
            <w:rPr>
              <w:rFonts w:ascii="Montserrat" w:hAnsi="Montserrat" w:eastAsia="" w:cs="" w:cstheme="minorBidi" w:eastAsiaTheme="minorEastAsia"/>
              <w:b/>
              <w:bCs/>
              <w:sz w:val="18"/>
              <w:szCs w:val="18"/>
              <w:lang w:eastAsia="eu-ES"/>
            </w:rPr>
          </w:pPr>
          <w:hyperlink w:anchor="_Toc191031074">
            <w:r>
              <w:rPr>
                <w:webHidden/>
                <w:rStyle w:val="Enlacedelndice"/>
                <w:rFonts w:ascii="Montserrat" w:hAnsi="Montserrat"/>
                <w:b/>
                <w:bCs/>
                <w:sz w:val="18"/>
                <w:szCs w:val="18"/>
              </w:rPr>
              <w:t>12</w:t>
            </w:r>
            <w:r>
              <w:rPr>
                <w:rStyle w:val="Enlacedelndice"/>
                <w:rFonts w:eastAsia="" w:cs="" w:ascii="Montserrat" w:hAnsi="Montserrat" w:cstheme="minorBidi" w:eastAsiaTheme="minorEastAsia"/>
                <w:b/>
                <w:bCs/>
                <w:sz w:val="18"/>
                <w:szCs w:val="18"/>
                <w:lang w:eastAsia="eu-ES"/>
              </w:rPr>
              <w:tab/>
            </w:r>
            <w:r>
              <w:rPr>
                <w:rStyle w:val="Enlacedelndice"/>
                <w:rFonts w:ascii="Montserrat" w:hAnsi="Montserrat"/>
                <w:b/>
                <w:bCs/>
                <w:sz w:val="18"/>
                <w:szCs w:val="18"/>
              </w:rPr>
              <w:t>Erreferentziak</w:t>
            </w:r>
            <w:r>
              <w:rPr>
                <w:webHidden/>
              </w:rPr>
              <w:fldChar w:fldCharType="begin"/>
            </w:r>
            <w:r>
              <w:rPr>
                <w:webHidden/>
              </w:rPr>
              <w:instrText xml:space="preserve">PAGEREF _Toc191031074 \h</w:instrText>
            </w:r>
            <w:r>
              <w:rPr>
                <w:webHidden/>
              </w:rPr>
              <w:fldChar w:fldCharType="separate"/>
            </w:r>
            <w:r>
              <w:rPr>
                <w:rStyle w:val="Enlacedelndice"/>
                <w:rFonts w:ascii="Montserrat" w:hAnsi="Montserrat"/>
                <w:b/>
                <w:bCs/>
                <w:vanish w:val="false"/>
                <w:sz w:val="18"/>
                <w:szCs w:val="18"/>
              </w:rPr>
              <w:tab/>
              <w:t>95</w:t>
            </w:r>
            <w:r>
              <w:rPr>
                <w:webHidden/>
              </w:rPr>
              <w:fldChar w:fldCharType="end"/>
            </w:r>
          </w:hyperlink>
        </w:p>
        <w:p>
          <w:pPr>
            <w:pStyle w:val="Normal"/>
            <w:spacing w:lineRule="auto" w:line="240"/>
            <w:rPr/>
          </w:pPr>
          <w:r>
            <w:rPr/>
          </w:r>
          <w:r>
            <w:rPr/>
            <w:fldChar w:fldCharType="end"/>
          </w:r>
        </w:p>
      </w:sdtContent>
    </w:sdt>
    <w:p>
      <w:pPr>
        <w:pStyle w:val="Ttulodelsumario"/>
        <w:ind w:left="0" w:hanging="0"/>
        <w:rPr>
          <w:rStyle w:val="1izenburuaKar"/>
          <w:color w:val="auto"/>
        </w:rPr>
      </w:pPr>
      <w:bookmarkStart w:id="0" w:name="_Toc191031038"/>
      <w:bookmarkStart w:id="1" w:name="_Toc190350008"/>
      <w:bookmarkStart w:id="2" w:name="_Toc190264594"/>
      <w:bookmarkStart w:id="3" w:name="_Toc183440602"/>
      <w:bookmarkStart w:id="4" w:name="_Toc179895424"/>
      <w:bookmarkStart w:id="5" w:name="_Toc179816283"/>
      <w:r>
        <w:rPr>
          <w:rStyle w:val="1izenburuaKar"/>
          <w:color w:val="auto"/>
        </w:rPr>
        <w:t>Grafiko, taula eta irudien aurkibidea</w:t>
      </w:r>
      <w:bookmarkEnd w:id="0"/>
      <w:bookmarkEnd w:id="1"/>
      <w:bookmarkEnd w:id="2"/>
      <w:bookmarkEnd w:id="3"/>
      <w:bookmarkEnd w:id="4"/>
      <w:bookmarkEnd w:id="5"/>
    </w:p>
    <w:p>
      <w:pPr>
        <w:pStyle w:val="Normal"/>
        <w:spacing w:lineRule="auto" w:line="276"/>
        <w:rPr>
          <w:sz w:val="20"/>
          <w:szCs w:val="20"/>
          <w:lang w:eastAsia="eu-ES"/>
        </w:rPr>
      </w:pPr>
      <w:r>
        <w:rPr>
          <w:rFonts w:ascii="Montserrat" w:hAnsi="Montserrat"/>
          <w:b/>
          <w:bCs/>
          <w:sz w:val="20"/>
          <w:szCs w:val="20"/>
          <w:lang w:eastAsia="eu-ES"/>
        </w:rPr>
        <w:t>| Grafikoak</w:t>
      </w:r>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r>
        <w:fldChar w:fldCharType="begin"/>
      </w:r>
      <w:r>
        <w:rPr>
          <w:rStyle w:val="Enlacedelndice"/>
        </w:rPr>
        <w:instrText xml:space="preserve"> TOC \c "Grafikoa" \h </w:instrText>
      </w:r>
      <w:r>
        <w:rPr>
          <w:rStyle w:val="Enlacedelndice"/>
        </w:rPr>
        <w:fldChar w:fldCharType="separate"/>
      </w:r>
      <w:hyperlink w:anchor="_Toc191031075">
        <w:r>
          <w:rPr>
            <w:rStyle w:val="Enlacedelndice"/>
          </w:rPr>
          <w:t>1. Grafikoa: Biztanleriaren bilakaera (%). Pasaia eta bere testuingurua, 2000-2025</w:t>
        </w:r>
        <w:r>
          <w:rPr>
            <w:webHidden/>
          </w:rPr>
          <w:fldChar w:fldCharType="begin"/>
        </w:r>
        <w:r>
          <w:rPr>
            <w:webHidden/>
          </w:rPr>
          <w:instrText xml:space="preserve">PAGEREF _Toc191031075 \h</w:instrText>
        </w:r>
        <w:r>
          <w:rPr>
            <w:webHidden/>
          </w:rPr>
          <w:fldChar w:fldCharType="separate"/>
        </w:r>
        <w:r>
          <w:rPr>
            <w:rStyle w:val="Enlacedelndice"/>
            <w:vanish w:val="false"/>
          </w:rPr>
          <w:tab/>
          <w:t>10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76">
        <w:r>
          <w:rPr>
            <w:rStyle w:val="Enlacedelndice"/>
          </w:rPr>
          <w:t>2. Grafikoa: Biztanleriaren bilakaera (%). Pasaia eta bere barrutiak, 2004-2025</w:t>
        </w:r>
        <w:r>
          <w:rPr>
            <w:webHidden/>
          </w:rPr>
          <w:fldChar w:fldCharType="begin"/>
        </w:r>
        <w:r>
          <w:rPr>
            <w:webHidden/>
          </w:rPr>
          <w:instrText xml:space="preserve">PAGEREF _Toc191031076 \h</w:instrText>
        </w:r>
        <w:r>
          <w:rPr>
            <w:webHidden/>
          </w:rPr>
          <w:fldChar w:fldCharType="separate"/>
        </w:r>
        <w:r>
          <w:rPr>
            <w:rStyle w:val="Enlacedelndice"/>
            <w:vanish w:val="false"/>
          </w:rPr>
          <w:tab/>
          <w:t>11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77">
        <w:r>
          <w:rPr>
            <w:rStyle w:val="Enlacedelndice"/>
          </w:rPr>
          <w:t>3. Grafikoa: Jaiotza tasaren bilakaera (‰). Pasaia, 2000-2025</w:t>
        </w:r>
        <w:r>
          <w:rPr>
            <w:webHidden/>
          </w:rPr>
          <w:fldChar w:fldCharType="begin"/>
        </w:r>
        <w:r>
          <w:rPr>
            <w:webHidden/>
          </w:rPr>
          <w:instrText xml:space="preserve">PAGEREF _Toc191031077 \h</w:instrText>
        </w:r>
        <w:r>
          <w:rPr>
            <w:webHidden/>
          </w:rPr>
          <w:fldChar w:fldCharType="separate"/>
        </w:r>
        <w:r>
          <w:rPr>
            <w:rStyle w:val="Enlacedelndice"/>
            <w:vanish w:val="false"/>
          </w:rPr>
          <w:tab/>
          <w:t>12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78">
        <w:r>
          <w:rPr>
            <w:rStyle w:val="Enlacedelndice"/>
          </w:rPr>
          <w:t>4. Grafikoa: Biztanleriaren bilakaera sexuaren arabera (%). Sexua, 2000-2025</w:t>
        </w:r>
        <w:r>
          <w:rPr>
            <w:webHidden/>
          </w:rPr>
          <w:fldChar w:fldCharType="begin"/>
        </w:r>
        <w:r>
          <w:rPr>
            <w:webHidden/>
          </w:rPr>
          <w:instrText xml:space="preserve">PAGEREF _Toc191031078 \h</w:instrText>
        </w:r>
        <w:r>
          <w:rPr>
            <w:webHidden/>
          </w:rPr>
          <w:fldChar w:fldCharType="separate"/>
        </w:r>
        <w:r>
          <w:rPr>
            <w:rStyle w:val="Enlacedelndice"/>
            <w:vanish w:val="false"/>
          </w:rPr>
          <w:tab/>
          <w:t>13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79">
        <w:r>
          <w:rPr>
            <w:rStyle w:val="Enlacedelndice"/>
          </w:rPr>
          <w:t>5. Grafikoa: Biztanleriaren bilakaera adinaren arabera (%). Pasaia, 2000-2025</w:t>
        </w:r>
        <w:r>
          <w:rPr>
            <w:webHidden/>
          </w:rPr>
          <w:fldChar w:fldCharType="begin"/>
        </w:r>
        <w:r>
          <w:rPr>
            <w:webHidden/>
          </w:rPr>
          <w:instrText xml:space="preserve">PAGEREF _Toc191031079 \h</w:instrText>
        </w:r>
        <w:r>
          <w:rPr>
            <w:webHidden/>
          </w:rPr>
          <w:fldChar w:fldCharType="separate"/>
        </w:r>
        <w:r>
          <w:rPr>
            <w:rStyle w:val="Enlacedelndice"/>
            <w:vanish w:val="false"/>
          </w:rPr>
          <w:tab/>
          <w:t>14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0">
        <w:r>
          <w:rPr>
            <w:rStyle w:val="Enlacedelndice"/>
          </w:rPr>
          <w:t>6. Grafikoa: Biztanleriaren piramide demografikoa (kop.). Pasaia, 2010-2025</w:t>
        </w:r>
        <w:r>
          <w:rPr>
            <w:webHidden/>
          </w:rPr>
          <w:fldChar w:fldCharType="begin"/>
        </w:r>
        <w:r>
          <w:rPr>
            <w:webHidden/>
          </w:rPr>
          <w:instrText xml:space="preserve">PAGEREF _Toc191031080 \h</w:instrText>
        </w:r>
        <w:r>
          <w:rPr>
            <w:webHidden/>
          </w:rPr>
          <w:fldChar w:fldCharType="separate"/>
        </w:r>
        <w:r>
          <w:rPr>
            <w:rStyle w:val="Enlacedelndice"/>
            <w:vanish w:val="false"/>
          </w:rPr>
          <w:tab/>
          <w:t>15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1">
        <w:r>
          <w:rPr>
            <w:rStyle w:val="Enlacedelndice"/>
          </w:rPr>
          <w:t>7. Grafikoa: Atzerritarren tasaren bilakaera (%). Pasaia eta bere testuingurua, 2000-2025</w:t>
        </w:r>
        <w:r>
          <w:rPr>
            <w:webHidden/>
          </w:rPr>
          <w:fldChar w:fldCharType="begin"/>
        </w:r>
        <w:r>
          <w:rPr>
            <w:webHidden/>
          </w:rPr>
          <w:instrText xml:space="preserve">PAGEREF _Toc191031081 \h</w:instrText>
        </w:r>
        <w:r>
          <w:rPr>
            <w:webHidden/>
          </w:rPr>
          <w:fldChar w:fldCharType="separate"/>
        </w:r>
        <w:r>
          <w:rPr>
            <w:rStyle w:val="Enlacedelndice"/>
            <w:vanish w:val="false"/>
          </w:rPr>
          <w:tab/>
          <w:t>15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2">
        <w:r>
          <w:rPr>
            <w:rStyle w:val="Enlacedelndice"/>
          </w:rPr>
          <w:t>8. Grafikoa: Biztanleriaren bilakaera jaioterriaren arabera (kop.). Pasaia, 2009-2025</w:t>
        </w:r>
        <w:r>
          <w:rPr>
            <w:webHidden/>
          </w:rPr>
          <w:fldChar w:fldCharType="begin"/>
        </w:r>
        <w:r>
          <w:rPr>
            <w:webHidden/>
          </w:rPr>
          <w:instrText xml:space="preserve">PAGEREF _Toc191031082 \h</w:instrText>
        </w:r>
        <w:r>
          <w:rPr>
            <w:webHidden/>
          </w:rPr>
          <w:fldChar w:fldCharType="separate"/>
        </w:r>
        <w:r>
          <w:rPr>
            <w:rStyle w:val="Enlacedelndice"/>
            <w:vanish w:val="false"/>
          </w:rPr>
          <w:tab/>
          <w:t>16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3">
        <w:r>
          <w:rPr>
            <w:rStyle w:val="Enlacedelndice"/>
          </w:rPr>
          <w:t>9. Grafikoa: Zahartze tasa barrutiaren arabera (%). Pasaia eta bere barrutiak, 2025</w:t>
        </w:r>
        <w:r>
          <w:rPr>
            <w:webHidden/>
          </w:rPr>
          <w:fldChar w:fldCharType="begin"/>
        </w:r>
        <w:r>
          <w:rPr>
            <w:webHidden/>
          </w:rPr>
          <w:instrText xml:space="preserve">PAGEREF _Toc191031083 \h</w:instrText>
        </w:r>
        <w:r>
          <w:rPr>
            <w:webHidden/>
          </w:rPr>
          <w:fldChar w:fldCharType="separate"/>
        </w:r>
        <w:r>
          <w:rPr>
            <w:rStyle w:val="Enlacedelndice"/>
            <w:vanish w:val="false"/>
          </w:rPr>
          <w:tab/>
          <w:t>18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4">
        <w:r>
          <w:rPr>
            <w:rStyle w:val="Enlacedelndice"/>
          </w:rPr>
          <w:t>10. Grafikoa: Atzerritarren tasaren bilakaera (%). Pasaia eta bere barrutiak, 2009-2025</w:t>
        </w:r>
        <w:r>
          <w:rPr>
            <w:webHidden/>
          </w:rPr>
          <w:fldChar w:fldCharType="begin"/>
        </w:r>
        <w:r>
          <w:rPr>
            <w:webHidden/>
          </w:rPr>
          <w:instrText xml:space="preserve">PAGEREF _Toc191031084 \h</w:instrText>
        </w:r>
        <w:r>
          <w:rPr>
            <w:webHidden/>
          </w:rPr>
          <w:fldChar w:fldCharType="separate"/>
        </w:r>
        <w:r>
          <w:rPr>
            <w:rStyle w:val="Enlacedelndice"/>
            <w:vanish w:val="false"/>
          </w:rPr>
          <w:tab/>
          <w:t>19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5">
        <w:r>
          <w:rPr>
            <w:rStyle w:val="Enlacedelndice"/>
          </w:rPr>
          <w:t>11. Grafikoa: Atzerritarren tasa barrutiaren arabera (%). Pasaia eta bere barrutiak, 2025</w:t>
        </w:r>
        <w:r>
          <w:rPr>
            <w:webHidden/>
          </w:rPr>
          <w:fldChar w:fldCharType="begin"/>
        </w:r>
        <w:r>
          <w:rPr>
            <w:webHidden/>
          </w:rPr>
          <w:instrText xml:space="preserve">PAGEREF _Toc191031085 \h</w:instrText>
        </w:r>
        <w:r>
          <w:rPr>
            <w:webHidden/>
          </w:rPr>
          <w:fldChar w:fldCharType="separate"/>
        </w:r>
        <w:r>
          <w:rPr>
            <w:rStyle w:val="Enlacedelndice"/>
            <w:vanish w:val="false"/>
          </w:rPr>
          <w:tab/>
          <w:t>19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6">
        <w:r>
          <w:rPr>
            <w:rStyle w:val="Enlacedelndice"/>
          </w:rPr>
          <w:t>12. Grafikoa: Biztanleriaren alten eta bajen bilakaera (kop.). Pasaia, 2000-2024</w:t>
        </w:r>
        <w:r>
          <w:rPr>
            <w:webHidden/>
          </w:rPr>
          <w:fldChar w:fldCharType="begin"/>
        </w:r>
        <w:r>
          <w:rPr>
            <w:webHidden/>
          </w:rPr>
          <w:instrText xml:space="preserve">PAGEREF _Toc191031086 \h</w:instrText>
        </w:r>
        <w:r>
          <w:rPr>
            <w:webHidden/>
          </w:rPr>
          <w:fldChar w:fldCharType="separate"/>
        </w:r>
        <w:r>
          <w:rPr>
            <w:rStyle w:val="Enlacedelndice"/>
            <w:vanish w:val="false"/>
          </w:rPr>
          <w:tab/>
          <w:t>21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7">
        <w:r>
          <w:rPr>
            <w:rStyle w:val="Enlacedelndice"/>
          </w:rPr>
          <w:t>13. Grafikoa: Alten bilakaera sexuaren arabera (kop.). Pasaia, 2009-2024</w:t>
        </w:r>
        <w:r>
          <w:rPr>
            <w:webHidden/>
          </w:rPr>
          <w:fldChar w:fldCharType="begin"/>
        </w:r>
        <w:r>
          <w:rPr>
            <w:webHidden/>
          </w:rPr>
          <w:instrText xml:space="preserve">PAGEREF _Toc191031087 \h</w:instrText>
        </w:r>
        <w:r>
          <w:rPr>
            <w:webHidden/>
          </w:rPr>
          <w:fldChar w:fldCharType="separate"/>
        </w:r>
        <w:r>
          <w:rPr>
            <w:rStyle w:val="Enlacedelndice"/>
            <w:vanish w:val="false"/>
          </w:rPr>
          <w:tab/>
          <w:t>23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8">
        <w:r>
          <w:rPr>
            <w:rStyle w:val="Enlacedelndice"/>
          </w:rPr>
          <w:t>14. Grafikoa: Alten bilakaera adinaren arabera (kop.). Pasaia, 2009-2024</w:t>
        </w:r>
        <w:r>
          <w:rPr>
            <w:webHidden/>
          </w:rPr>
          <w:fldChar w:fldCharType="begin"/>
        </w:r>
        <w:r>
          <w:rPr>
            <w:webHidden/>
          </w:rPr>
          <w:instrText xml:space="preserve">PAGEREF _Toc191031088 \h</w:instrText>
        </w:r>
        <w:r>
          <w:rPr>
            <w:webHidden/>
          </w:rPr>
          <w:fldChar w:fldCharType="separate"/>
        </w:r>
        <w:r>
          <w:rPr>
            <w:rStyle w:val="Enlacedelndice"/>
            <w:vanish w:val="false"/>
          </w:rPr>
          <w:tab/>
          <w:t>23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89">
        <w:r>
          <w:rPr>
            <w:rStyle w:val="Enlacedelndice"/>
          </w:rPr>
          <w:t>15. Grafikoa: Alten bilakaera jatorriko lurraldearen arabera (kop.). Pasaia, 2009-2024</w:t>
        </w:r>
        <w:r>
          <w:rPr>
            <w:webHidden/>
          </w:rPr>
          <w:fldChar w:fldCharType="begin"/>
        </w:r>
        <w:r>
          <w:rPr>
            <w:webHidden/>
          </w:rPr>
          <w:instrText xml:space="preserve">PAGEREF _Toc191031089 \h</w:instrText>
        </w:r>
        <w:r>
          <w:rPr>
            <w:webHidden/>
          </w:rPr>
          <w:fldChar w:fldCharType="separate"/>
        </w:r>
        <w:r>
          <w:rPr>
            <w:rStyle w:val="Enlacedelndice"/>
            <w:vanish w:val="false"/>
          </w:rPr>
          <w:tab/>
          <w:t>25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0">
        <w:r>
          <w:rPr>
            <w:rStyle w:val="Enlacedelndice"/>
          </w:rPr>
          <w:t>16. Grafikoa: Bajen bilakaera sexuaren arabera (kop.). Pasaia, 2009-2024</w:t>
        </w:r>
        <w:r>
          <w:rPr>
            <w:webHidden/>
          </w:rPr>
          <w:fldChar w:fldCharType="begin"/>
        </w:r>
        <w:r>
          <w:rPr>
            <w:webHidden/>
          </w:rPr>
          <w:instrText xml:space="preserve">PAGEREF _Toc191031090 \h</w:instrText>
        </w:r>
        <w:r>
          <w:rPr>
            <w:webHidden/>
          </w:rPr>
          <w:fldChar w:fldCharType="separate"/>
        </w:r>
        <w:r>
          <w:rPr>
            <w:rStyle w:val="Enlacedelndice"/>
            <w:vanish w:val="false"/>
          </w:rPr>
          <w:tab/>
          <w:t>26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1">
        <w:r>
          <w:rPr>
            <w:rStyle w:val="Enlacedelndice"/>
          </w:rPr>
          <w:t>17. Grafikoa: Bajen bilakaera adinaren arabera (kop.). Pasaia, 2009-2024</w:t>
        </w:r>
        <w:r>
          <w:rPr>
            <w:webHidden/>
          </w:rPr>
          <w:fldChar w:fldCharType="begin"/>
        </w:r>
        <w:r>
          <w:rPr>
            <w:webHidden/>
          </w:rPr>
          <w:instrText xml:space="preserve">PAGEREF _Toc191031091 \h</w:instrText>
        </w:r>
        <w:r>
          <w:rPr>
            <w:webHidden/>
          </w:rPr>
          <w:fldChar w:fldCharType="separate"/>
        </w:r>
        <w:r>
          <w:rPr>
            <w:rStyle w:val="Enlacedelndice"/>
            <w:vanish w:val="false"/>
          </w:rPr>
          <w:tab/>
          <w:t>26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2">
        <w:r>
          <w:rPr>
            <w:rStyle w:val="Enlacedelndice"/>
          </w:rPr>
          <w:t>18. Grafikoa: Bajen bilakaera jatorriko lurraldearen arabera (kop.). Pasaia 2009-2024</w:t>
        </w:r>
        <w:r>
          <w:rPr>
            <w:webHidden/>
          </w:rPr>
          <w:fldChar w:fldCharType="begin"/>
        </w:r>
        <w:r>
          <w:rPr>
            <w:webHidden/>
          </w:rPr>
          <w:instrText xml:space="preserve">PAGEREF _Toc191031092 \h</w:instrText>
        </w:r>
        <w:r>
          <w:rPr>
            <w:webHidden/>
          </w:rPr>
          <w:fldChar w:fldCharType="separate"/>
        </w:r>
        <w:r>
          <w:rPr>
            <w:rStyle w:val="Enlacedelndice"/>
            <w:vanish w:val="false"/>
          </w:rPr>
          <w:tab/>
          <w:t>27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3">
        <w:r>
          <w:rPr>
            <w:rStyle w:val="Enlacedelndice"/>
          </w:rPr>
          <w:t>19. Grafikoa: Alta eta bajen fluxua jatorriko eta helmugako lurraldearen arabera (kop.). Pasaia, 2009-2024</w:t>
        </w:r>
        <w:r>
          <w:rPr>
            <w:webHidden/>
          </w:rPr>
          <w:fldChar w:fldCharType="begin"/>
        </w:r>
        <w:r>
          <w:rPr>
            <w:webHidden/>
          </w:rPr>
          <w:instrText xml:space="preserve">PAGEREF _Toc191031093 \h</w:instrText>
        </w:r>
        <w:r>
          <w:rPr>
            <w:webHidden/>
          </w:rPr>
          <w:fldChar w:fldCharType="separate"/>
        </w:r>
        <w:r>
          <w:rPr>
            <w:rStyle w:val="Enlacedelndice"/>
            <w:vanish w:val="false"/>
          </w:rPr>
          <w:tab/>
          <w:t>28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4">
        <w:r>
          <w:rPr>
            <w:rStyle w:val="Enlacedelndice"/>
          </w:rPr>
          <w:t>20. Grafikoa: Biztanleria hazkundearen prospektiba (%). Pasaia, 2000-2040</w:t>
        </w:r>
        <w:r>
          <w:rPr>
            <w:webHidden/>
          </w:rPr>
          <w:fldChar w:fldCharType="begin"/>
        </w:r>
        <w:r>
          <w:rPr>
            <w:webHidden/>
          </w:rPr>
          <w:instrText xml:space="preserve">PAGEREF _Toc191031094 \h</w:instrText>
        </w:r>
        <w:r>
          <w:rPr>
            <w:webHidden/>
          </w:rPr>
          <w:fldChar w:fldCharType="separate"/>
        </w:r>
        <w:r>
          <w:rPr>
            <w:rStyle w:val="Enlacedelndice"/>
            <w:vanish w:val="false"/>
          </w:rPr>
          <w:tab/>
          <w:t>30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5">
        <w:r>
          <w:rPr>
            <w:rStyle w:val="Enlacedelndice"/>
          </w:rPr>
          <w:t>21. Grafikoa: Biztanleria prospektibaren piramide demografikoa (kop.). Pasaia, 2025-2040</w:t>
        </w:r>
        <w:r>
          <w:rPr>
            <w:webHidden/>
          </w:rPr>
          <w:fldChar w:fldCharType="begin"/>
        </w:r>
        <w:r>
          <w:rPr>
            <w:webHidden/>
          </w:rPr>
          <w:instrText xml:space="preserve">PAGEREF _Toc191031095 \h</w:instrText>
        </w:r>
        <w:r>
          <w:rPr>
            <w:webHidden/>
          </w:rPr>
          <w:fldChar w:fldCharType="separate"/>
        </w:r>
        <w:r>
          <w:rPr>
            <w:rStyle w:val="Enlacedelndice"/>
            <w:vanish w:val="false"/>
          </w:rPr>
          <w:tab/>
          <w:t>31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6">
        <w:r>
          <w:rPr>
            <w:rStyle w:val="Enlacedelndice"/>
          </w:rPr>
          <w:t>22. Grafikoa: Zahartze tasaren bilakaeraren prospektiba (%). Pasaia, 2000-2040</w:t>
        </w:r>
        <w:r>
          <w:rPr>
            <w:webHidden/>
          </w:rPr>
          <w:fldChar w:fldCharType="begin"/>
        </w:r>
        <w:r>
          <w:rPr>
            <w:webHidden/>
          </w:rPr>
          <w:instrText xml:space="preserve">PAGEREF _Toc191031096 \h</w:instrText>
        </w:r>
        <w:r>
          <w:rPr>
            <w:webHidden/>
          </w:rPr>
          <w:fldChar w:fldCharType="separate"/>
        </w:r>
        <w:r>
          <w:rPr>
            <w:rStyle w:val="Enlacedelndice"/>
            <w:vanish w:val="false"/>
          </w:rPr>
          <w:tab/>
          <w:t>32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7">
        <w:r>
          <w:rPr>
            <w:rStyle w:val="Enlacedelndice"/>
          </w:rPr>
          <w:t>23. Grafikoa: 0-19 urte bitarteko pertsonen tasaren bilakaeraren prospektiba (%). Pasaia, 2000-2040</w:t>
        </w:r>
        <w:r>
          <w:rPr>
            <w:webHidden/>
          </w:rPr>
          <w:fldChar w:fldCharType="begin"/>
        </w:r>
        <w:r>
          <w:rPr>
            <w:webHidden/>
          </w:rPr>
          <w:instrText xml:space="preserve">PAGEREF _Toc191031097 \h</w:instrText>
        </w:r>
        <w:r>
          <w:rPr>
            <w:webHidden/>
          </w:rPr>
          <w:fldChar w:fldCharType="separate"/>
        </w:r>
        <w:r>
          <w:rPr>
            <w:rStyle w:val="Enlacedelndice"/>
            <w:vanish w:val="false"/>
          </w:rPr>
          <w:tab/>
          <w:t>32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8">
        <w:r>
          <w:rPr>
            <w:rStyle w:val="Enlacedelndice"/>
          </w:rPr>
          <w:t>24. Grafikoa Bizikidetza-unitateen hazkundea (%). Pasaia, 2009-2025</w:t>
        </w:r>
        <w:r>
          <w:rPr>
            <w:webHidden/>
          </w:rPr>
          <w:fldChar w:fldCharType="begin"/>
        </w:r>
        <w:r>
          <w:rPr>
            <w:webHidden/>
          </w:rPr>
          <w:instrText xml:space="preserve">PAGEREF _Toc191031098 \h</w:instrText>
        </w:r>
        <w:r>
          <w:rPr>
            <w:webHidden/>
          </w:rPr>
          <w:fldChar w:fldCharType="separate"/>
        </w:r>
        <w:r>
          <w:rPr>
            <w:rStyle w:val="Enlacedelndice"/>
            <w:vanish w:val="false"/>
          </w:rPr>
          <w:tab/>
          <w:t>33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099">
        <w:r>
          <w:rPr>
            <w:rStyle w:val="Enlacedelndice"/>
          </w:rPr>
          <w:t>25. Grafikoa Bizikidetza-unitateen batez besteko tamainaren bilakaera (kop.) Pasaia, 2009-2025</w:t>
        </w:r>
        <w:r>
          <w:rPr>
            <w:webHidden/>
          </w:rPr>
          <w:fldChar w:fldCharType="begin"/>
        </w:r>
        <w:r>
          <w:rPr>
            <w:webHidden/>
          </w:rPr>
          <w:instrText xml:space="preserve">PAGEREF _Toc191031099 \h</w:instrText>
        </w:r>
        <w:r>
          <w:rPr>
            <w:webHidden/>
          </w:rPr>
          <w:fldChar w:fldCharType="separate"/>
        </w:r>
        <w:r>
          <w:rPr>
            <w:rStyle w:val="Enlacedelndice"/>
            <w:vanish w:val="false"/>
          </w:rPr>
          <w:tab/>
          <w:t>34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0">
        <w:r>
          <w:rPr>
            <w:rStyle w:val="Enlacedelndice"/>
          </w:rPr>
          <w:t>26. Grafikoa: Bizikidetza-unitateen batez besteko tamaina auzoaren arabera (bizt.). Pasaia, 2025</w:t>
        </w:r>
        <w:r>
          <w:rPr>
            <w:webHidden/>
          </w:rPr>
          <w:fldChar w:fldCharType="begin"/>
        </w:r>
        <w:r>
          <w:rPr>
            <w:webHidden/>
          </w:rPr>
          <w:instrText xml:space="preserve">PAGEREF _Toc191031100 \h</w:instrText>
        </w:r>
        <w:r>
          <w:rPr>
            <w:webHidden/>
          </w:rPr>
          <w:fldChar w:fldCharType="separate"/>
        </w:r>
        <w:r>
          <w:rPr>
            <w:rStyle w:val="Enlacedelndice"/>
            <w:vanish w:val="false"/>
          </w:rPr>
          <w:tab/>
          <w:t>35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1">
        <w:r>
          <w:rPr>
            <w:rStyle w:val="Enlacedelndice"/>
          </w:rPr>
          <w:t>27. Grafikoa: Bizikidetza-unitateen tipologia adinaren arabera (%). Pasaia, 2025</w:t>
        </w:r>
        <w:r>
          <w:rPr>
            <w:webHidden/>
          </w:rPr>
          <w:fldChar w:fldCharType="begin"/>
        </w:r>
        <w:r>
          <w:rPr>
            <w:webHidden/>
          </w:rPr>
          <w:instrText xml:space="preserve">PAGEREF _Toc191031101 \h</w:instrText>
        </w:r>
        <w:r>
          <w:rPr>
            <w:webHidden/>
          </w:rPr>
          <w:fldChar w:fldCharType="separate"/>
        </w:r>
        <w:r>
          <w:rPr>
            <w:rStyle w:val="Enlacedelndice"/>
            <w:vanish w:val="false"/>
          </w:rPr>
          <w:tab/>
          <w:t>37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2">
        <w:r>
          <w:rPr>
            <w:rStyle w:val="Enlacedelndice"/>
          </w:rPr>
          <w:t>28. Grafikoa: Bizikidetza-unitateen tipologia jaiolekuaren arabera (%). Pasaia, 2025</w:t>
        </w:r>
        <w:r>
          <w:rPr>
            <w:webHidden/>
          </w:rPr>
          <w:fldChar w:fldCharType="begin"/>
        </w:r>
        <w:r>
          <w:rPr>
            <w:webHidden/>
          </w:rPr>
          <w:instrText xml:space="preserve">PAGEREF _Toc191031102 \h</w:instrText>
        </w:r>
        <w:r>
          <w:rPr>
            <w:webHidden/>
          </w:rPr>
          <w:fldChar w:fldCharType="separate"/>
        </w:r>
        <w:r>
          <w:rPr>
            <w:rStyle w:val="Enlacedelndice"/>
            <w:vanish w:val="false"/>
          </w:rPr>
          <w:tab/>
          <w:t>38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3">
        <w:r>
          <w:rPr>
            <w:rStyle w:val="Enlacedelndice"/>
          </w:rPr>
          <w:t>29. Grafikoa: 18-34 urte bitarteko pertsonen pisu erlatiboa auzoaren arabera (%). Pasaia, 2025</w:t>
        </w:r>
        <w:r>
          <w:rPr>
            <w:webHidden/>
          </w:rPr>
          <w:fldChar w:fldCharType="begin"/>
        </w:r>
        <w:r>
          <w:rPr>
            <w:webHidden/>
          </w:rPr>
          <w:instrText xml:space="preserve">PAGEREF _Toc191031103 \h</w:instrText>
        </w:r>
        <w:r>
          <w:rPr>
            <w:webHidden/>
          </w:rPr>
          <w:fldChar w:fldCharType="separate"/>
        </w:r>
        <w:r>
          <w:rPr>
            <w:rStyle w:val="Enlacedelndice"/>
            <w:vanish w:val="false"/>
          </w:rPr>
          <w:tab/>
          <w:t>39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4">
        <w:r>
          <w:rPr>
            <w:rStyle w:val="Enlacedelndice"/>
          </w:rPr>
          <w:t>30. Grafikoa: Emantzipatutako 18-34 urte bitarteko pertsonen tasa auzoaren arabera (%). Pasaia, 2025</w:t>
        </w:r>
        <w:r>
          <w:rPr>
            <w:webHidden/>
          </w:rPr>
          <w:fldChar w:fldCharType="begin"/>
        </w:r>
        <w:r>
          <w:rPr>
            <w:webHidden/>
          </w:rPr>
          <w:instrText xml:space="preserve">PAGEREF _Toc191031104 \h</w:instrText>
        </w:r>
        <w:r>
          <w:rPr>
            <w:webHidden/>
          </w:rPr>
          <w:fldChar w:fldCharType="separate"/>
        </w:r>
        <w:r>
          <w:rPr>
            <w:rStyle w:val="Enlacedelndice"/>
            <w:vanish w:val="false"/>
          </w:rPr>
          <w:tab/>
          <w:t>40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5">
        <w:r>
          <w:rPr>
            <w:rStyle w:val="Enlacedelndice"/>
          </w:rPr>
          <w:t>31. Grafikoa Bizikidetza-unitateen prospektiba (%). Pasaia, 2009-2040</w:t>
        </w:r>
        <w:r>
          <w:rPr>
            <w:webHidden/>
          </w:rPr>
          <w:fldChar w:fldCharType="begin"/>
        </w:r>
        <w:r>
          <w:rPr>
            <w:webHidden/>
          </w:rPr>
          <w:instrText xml:space="preserve">PAGEREF _Toc191031105 \h</w:instrText>
        </w:r>
        <w:r>
          <w:rPr>
            <w:webHidden/>
          </w:rPr>
          <w:fldChar w:fldCharType="separate"/>
        </w:r>
        <w:r>
          <w:rPr>
            <w:rStyle w:val="Enlacedelndice"/>
            <w:vanish w:val="false"/>
          </w:rPr>
          <w:tab/>
          <w:t>42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6">
        <w:r>
          <w:rPr>
            <w:rStyle w:val="Enlacedelndice"/>
          </w:rPr>
          <w:t>32. Grafikoa Bizikidetza-unitateen batez besteko tamainaren prospektiba (kop.) Pasaia, 2009-2040</w:t>
        </w:r>
        <w:r>
          <w:rPr>
            <w:webHidden/>
          </w:rPr>
          <w:fldChar w:fldCharType="begin"/>
        </w:r>
        <w:r>
          <w:rPr>
            <w:webHidden/>
          </w:rPr>
          <w:instrText xml:space="preserve">PAGEREF _Toc191031106 \h</w:instrText>
        </w:r>
        <w:r>
          <w:rPr>
            <w:webHidden/>
          </w:rPr>
          <w:fldChar w:fldCharType="separate"/>
        </w:r>
        <w:r>
          <w:rPr>
            <w:rStyle w:val="Enlacedelndice"/>
            <w:vanish w:val="false"/>
          </w:rPr>
          <w:tab/>
          <w:t>43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7">
        <w:r>
          <w:rPr>
            <w:rStyle w:val="Enlacedelndice"/>
          </w:rPr>
          <w:t>33. Grafikoa: Aktibitate-tasaren bilakaera (%). Pasaia eta bere testuingurua, 2010-2023</w:t>
        </w:r>
        <w:r>
          <w:rPr>
            <w:webHidden/>
          </w:rPr>
          <w:fldChar w:fldCharType="begin"/>
        </w:r>
        <w:r>
          <w:rPr>
            <w:webHidden/>
          </w:rPr>
          <w:instrText xml:space="preserve">PAGEREF _Toc191031107 \h</w:instrText>
        </w:r>
        <w:r>
          <w:rPr>
            <w:webHidden/>
          </w:rPr>
          <w:fldChar w:fldCharType="separate"/>
        </w:r>
        <w:r>
          <w:rPr>
            <w:rStyle w:val="Enlacedelndice"/>
            <w:vanish w:val="false"/>
          </w:rPr>
          <w:tab/>
          <w:t>44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8">
        <w:r>
          <w:rPr>
            <w:rStyle w:val="Enlacedelndice"/>
          </w:rPr>
          <w:t>34. Grafikoa: Aktibitate-tasaren bilakaera sexuaren arabera (%). Pasaia, 2010-2023</w:t>
        </w:r>
        <w:r>
          <w:rPr>
            <w:webHidden/>
          </w:rPr>
          <w:fldChar w:fldCharType="begin"/>
        </w:r>
        <w:r>
          <w:rPr>
            <w:webHidden/>
          </w:rPr>
          <w:instrText xml:space="preserve">PAGEREF _Toc191031108 \h</w:instrText>
        </w:r>
        <w:r>
          <w:rPr>
            <w:webHidden/>
          </w:rPr>
          <w:fldChar w:fldCharType="separate"/>
        </w:r>
        <w:r>
          <w:rPr>
            <w:rStyle w:val="Enlacedelndice"/>
            <w:vanish w:val="false"/>
          </w:rPr>
          <w:tab/>
          <w:t>45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09">
        <w:r>
          <w:rPr>
            <w:rStyle w:val="Enlacedelndice"/>
          </w:rPr>
          <w:t>35. Grafikoa: Okupazio-tasaren bilakaera (%). Pasaia eta bere testuingurua, 2010-2023</w:t>
        </w:r>
        <w:r>
          <w:rPr>
            <w:webHidden/>
          </w:rPr>
          <w:fldChar w:fldCharType="begin"/>
        </w:r>
        <w:r>
          <w:rPr>
            <w:webHidden/>
          </w:rPr>
          <w:instrText xml:space="preserve">PAGEREF _Toc191031109 \h</w:instrText>
        </w:r>
        <w:r>
          <w:rPr>
            <w:webHidden/>
          </w:rPr>
          <w:fldChar w:fldCharType="separate"/>
        </w:r>
        <w:r>
          <w:rPr>
            <w:rStyle w:val="Enlacedelndice"/>
            <w:vanish w:val="false"/>
          </w:rPr>
          <w:tab/>
          <w:t>46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0">
        <w:r>
          <w:rPr>
            <w:rStyle w:val="Enlacedelndice"/>
          </w:rPr>
          <w:t>36. Grafikoa: Okupazio-tasaren bilakaera sexuaren arabera (%). Pasaia, 2010-2023</w:t>
        </w:r>
        <w:r>
          <w:rPr>
            <w:webHidden/>
          </w:rPr>
          <w:fldChar w:fldCharType="begin"/>
        </w:r>
        <w:r>
          <w:rPr>
            <w:webHidden/>
          </w:rPr>
          <w:instrText xml:space="preserve">PAGEREF _Toc191031110 \h</w:instrText>
        </w:r>
        <w:r>
          <w:rPr>
            <w:webHidden/>
          </w:rPr>
          <w:fldChar w:fldCharType="separate"/>
        </w:r>
        <w:r>
          <w:rPr>
            <w:rStyle w:val="Enlacedelndice"/>
            <w:vanish w:val="false"/>
          </w:rPr>
          <w:tab/>
          <w:t>46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1">
        <w:r>
          <w:rPr>
            <w:rStyle w:val="Enlacedelndice"/>
          </w:rPr>
          <w:t>37. Grafikoa: Langabezia-tasaren bilakaera (%). Pasaia eta bere testuingurua, 2000-2024</w:t>
        </w:r>
        <w:r>
          <w:rPr>
            <w:webHidden/>
          </w:rPr>
          <w:fldChar w:fldCharType="begin"/>
        </w:r>
        <w:r>
          <w:rPr>
            <w:webHidden/>
          </w:rPr>
          <w:instrText xml:space="preserve">PAGEREF _Toc191031111 \h</w:instrText>
        </w:r>
        <w:r>
          <w:rPr>
            <w:webHidden/>
          </w:rPr>
          <w:fldChar w:fldCharType="separate"/>
        </w:r>
        <w:r>
          <w:rPr>
            <w:rStyle w:val="Enlacedelndice"/>
            <w:vanish w:val="false"/>
          </w:rPr>
          <w:tab/>
          <w:t>48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2">
        <w:r>
          <w:rPr>
            <w:rStyle w:val="Enlacedelndice"/>
          </w:rPr>
          <w:t>38. Grafikoa: Langabezia-tasaren bilakaera (%). Pasaia eta bere testuingurua, 2010-2023</w:t>
        </w:r>
        <w:r>
          <w:rPr>
            <w:webHidden/>
          </w:rPr>
          <w:fldChar w:fldCharType="begin"/>
        </w:r>
        <w:r>
          <w:rPr>
            <w:webHidden/>
          </w:rPr>
          <w:instrText xml:space="preserve">PAGEREF _Toc191031112 \h</w:instrText>
        </w:r>
        <w:r>
          <w:rPr>
            <w:webHidden/>
          </w:rPr>
          <w:fldChar w:fldCharType="separate"/>
        </w:r>
        <w:r>
          <w:rPr>
            <w:rStyle w:val="Enlacedelndice"/>
            <w:vanish w:val="false"/>
          </w:rPr>
          <w:tab/>
          <w:t>48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3">
        <w:r>
          <w:rPr>
            <w:rStyle w:val="Enlacedelndice"/>
          </w:rPr>
          <w:t>39. Grafikoa: Langabezia-tasaren bilakaera sexuaren arabera (%). Pasaia, 2010-2023</w:t>
        </w:r>
        <w:r>
          <w:rPr>
            <w:webHidden/>
          </w:rPr>
          <w:fldChar w:fldCharType="begin"/>
        </w:r>
        <w:r>
          <w:rPr>
            <w:webHidden/>
          </w:rPr>
          <w:instrText xml:space="preserve">PAGEREF _Toc191031113 \h</w:instrText>
        </w:r>
        <w:r>
          <w:rPr>
            <w:webHidden/>
          </w:rPr>
          <w:fldChar w:fldCharType="separate"/>
        </w:r>
        <w:r>
          <w:rPr>
            <w:rStyle w:val="Enlacedelndice"/>
            <w:vanish w:val="false"/>
          </w:rPr>
          <w:tab/>
          <w:t>49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4">
        <w:r>
          <w:rPr>
            <w:rStyle w:val="Enlacedelndice"/>
          </w:rPr>
          <w:t>40. Grafikoa: Familia-errenta erabilgarriaren bilakaera (€). Pasaia eta bere testuingurua, 2001-2022</w:t>
        </w:r>
        <w:r>
          <w:rPr>
            <w:webHidden/>
          </w:rPr>
          <w:fldChar w:fldCharType="begin"/>
        </w:r>
        <w:r>
          <w:rPr>
            <w:webHidden/>
          </w:rPr>
          <w:instrText xml:space="preserve">PAGEREF _Toc191031114 \h</w:instrText>
        </w:r>
        <w:r>
          <w:rPr>
            <w:webHidden/>
          </w:rPr>
          <w:fldChar w:fldCharType="separate"/>
        </w:r>
        <w:r>
          <w:rPr>
            <w:rStyle w:val="Enlacedelndice"/>
            <w:vanish w:val="false"/>
          </w:rPr>
          <w:tab/>
          <w:t>50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5">
        <w:r>
          <w:rPr>
            <w:rStyle w:val="Enlacedelndice"/>
          </w:rPr>
          <w:t>41. Grafikoa: Familia-errenta erabilgarriaren bilakaera hartzaile nagusiaren sexuaren arabera (€). Pasaia, 2001-2022</w:t>
        </w:r>
        <w:r>
          <w:rPr>
            <w:webHidden/>
          </w:rPr>
          <w:fldChar w:fldCharType="begin"/>
        </w:r>
        <w:r>
          <w:rPr>
            <w:webHidden/>
          </w:rPr>
          <w:instrText xml:space="preserve">PAGEREF _Toc191031115 \h</w:instrText>
        </w:r>
        <w:r>
          <w:rPr>
            <w:webHidden/>
          </w:rPr>
          <w:fldChar w:fldCharType="separate"/>
        </w:r>
        <w:r>
          <w:rPr>
            <w:rStyle w:val="Enlacedelndice"/>
            <w:vanish w:val="false"/>
          </w:rPr>
          <w:tab/>
          <w:t>51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6">
        <w:r>
          <w:rPr>
            <w:rStyle w:val="Enlacedelndice"/>
          </w:rPr>
          <w:t>42. Grafikoa: Familia-errenta erabilgarriaren bilakaera barrutiaren arabera (€). Pasaia, 2021</w:t>
        </w:r>
        <w:r>
          <w:rPr>
            <w:webHidden/>
          </w:rPr>
          <w:fldChar w:fldCharType="begin"/>
        </w:r>
        <w:r>
          <w:rPr>
            <w:webHidden/>
          </w:rPr>
          <w:instrText xml:space="preserve">PAGEREF _Toc191031116 \h</w:instrText>
        </w:r>
        <w:r>
          <w:rPr>
            <w:webHidden/>
          </w:rPr>
          <w:fldChar w:fldCharType="separate"/>
        </w:r>
        <w:r>
          <w:rPr>
            <w:rStyle w:val="Enlacedelndice"/>
            <w:vanish w:val="false"/>
          </w:rPr>
          <w:tab/>
          <w:t>52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7">
        <w:r>
          <w:rPr>
            <w:rStyle w:val="Enlacedelndice"/>
          </w:rPr>
          <w:t>43. Grafikoa: Errenta pertsonal erabilgarriaren bilakaera (€). Pasaia eta bere testuingurua, 2001-2022</w:t>
        </w:r>
        <w:r>
          <w:rPr>
            <w:webHidden/>
          </w:rPr>
          <w:fldChar w:fldCharType="begin"/>
        </w:r>
        <w:r>
          <w:rPr>
            <w:webHidden/>
          </w:rPr>
          <w:instrText xml:space="preserve">PAGEREF _Toc191031117 \h</w:instrText>
        </w:r>
        <w:r>
          <w:rPr>
            <w:webHidden/>
          </w:rPr>
          <w:fldChar w:fldCharType="separate"/>
        </w:r>
        <w:r>
          <w:rPr>
            <w:rStyle w:val="Enlacedelndice"/>
            <w:vanish w:val="false"/>
          </w:rPr>
          <w:tab/>
          <w:t>53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8">
        <w:r>
          <w:rPr>
            <w:rStyle w:val="Enlacedelndice"/>
          </w:rPr>
          <w:t>44. Grafikoa: Errenta pertsonal erabilgarriaren bilakaera sexuaren arabera (€). Pasaia, 2001-2022</w:t>
        </w:r>
        <w:r>
          <w:rPr>
            <w:webHidden/>
          </w:rPr>
          <w:fldChar w:fldCharType="begin"/>
        </w:r>
        <w:r>
          <w:rPr>
            <w:webHidden/>
          </w:rPr>
          <w:instrText xml:space="preserve">PAGEREF _Toc191031118 \h</w:instrText>
        </w:r>
        <w:r>
          <w:rPr>
            <w:webHidden/>
          </w:rPr>
          <w:fldChar w:fldCharType="separate"/>
        </w:r>
        <w:r>
          <w:rPr>
            <w:rStyle w:val="Enlacedelndice"/>
            <w:vanish w:val="false"/>
          </w:rPr>
          <w:tab/>
          <w:t>53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19">
        <w:r>
          <w:rPr>
            <w:rStyle w:val="Enlacedelndice"/>
          </w:rPr>
          <w:t>45. Grafikoa: Etxebizitza parkearen bilakaera (%). Pasaia eta bere testuingurua, 2010-2023</w:t>
        </w:r>
        <w:r>
          <w:rPr>
            <w:webHidden/>
          </w:rPr>
          <w:fldChar w:fldCharType="begin"/>
        </w:r>
        <w:r>
          <w:rPr>
            <w:webHidden/>
          </w:rPr>
          <w:instrText xml:space="preserve">PAGEREF _Toc191031119 \h</w:instrText>
        </w:r>
        <w:r>
          <w:rPr>
            <w:webHidden/>
          </w:rPr>
          <w:fldChar w:fldCharType="separate"/>
        </w:r>
        <w:r>
          <w:rPr>
            <w:rStyle w:val="Enlacedelndice"/>
            <w:vanish w:val="false"/>
          </w:rPr>
          <w:tab/>
          <w:t>55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0">
        <w:r>
          <w:rPr>
            <w:rStyle w:val="Enlacedelndice"/>
          </w:rPr>
          <w:t>46. Grafikoa: Etxebizitza nagusien batez besteko biztanle kopuruaren bilakaera (kop.). Pasaia eta bere testuingurua, 2010-2023</w:t>
        </w:r>
        <w:r>
          <w:rPr>
            <w:webHidden/>
          </w:rPr>
          <w:fldChar w:fldCharType="begin"/>
        </w:r>
        <w:r>
          <w:rPr>
            <w:webHidden/>
          </w:rPr>
          <w:instrText xml:space="preserve">PAGEREF _Toc191031120 \h</w:instrText>
        </w:r>
        <w:r>
          <w:rPr>
            <w:webHidden/>
          </w:rPr>
          <w:fldChar w:fldCharType="separate"/>
        </w:r>
        <w:r>
          <w:rPr>
            <w:rStyle w:val="Enlacedelndice"/>
            <w:vanish w:val="false"/>
          </w:rPr>
          <w:tab/>
          <w:t>57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1">
        <w:r>
          <w:rPr>
            <w:rStyle w:val="Enlacedelndice"/>
          </w:rPr>
          <w:t>47. Grafikoa: Familia etxebizitzen batez besteko antzinatasunaren bilakaera (urte). Pasaia eta bere testuingurua, 2010-2023</w:t>
        </w:r>
        <w:r>
          <w:rPr>
            <w:webHidden/>
          </w:rPr>
          <w:fldChar w:fldCharType="begin"/>
        </w:r>
        <w:r>
          <w:rPr>
            <w:webHidden/>
          </w:rPr>
          <w:instrText xml:space="preserve">PAGEREF _Toc191031121 \h</w:instrText>
        </w:r>
        <w:r>
          <w:rPr>
            <w:webHidden/>
          </w:rPr>
          <w:fldChar w:fldCharType="separate"/>
        </w:r>
        <w:r>
          <w:rPr>
            <w:rStyle w:val="Enlacedelndice"/>
            <w:vanish w:val="false"/>
          </w:rPr>
          <w:tab/>
          <w:t>58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2">
        <w:r>
          <w:rPr>
            <w:rStyle w:val="Enlacedelndice"/>
          </w:rPr>
          <w:t>48. Grafikoa: Familia etxebizitzen batez besteko azaleraren bilakaera (m</w:t>
        </w:r>
        <w:r>
          <w:rPr>
            <w:rStyle w:val="Enlacedelndice"/>
            <w:vertAlign w:val="superscript"/>
          </w:rPr>
          <w:t>2</w:t>
        </w:r>
        <w:r>
          <w:rPr>
            <w:rStyle w:val="Enlacedelndice"/>
          </w:rPr>
          <w:t>). Pasaia eta bere testuingurua, 2010-2023</w:t>
        </w:r>
        <w:r>
          <w:rPr>
            <w:webHidden/>
          </w:rPr>
          <w:fldChar w:fldCharType="begin"/>
        </w:r>
        <w:r>
          <w:rPr>
            <w:webHidden/>
          </w:rPr>
          <w:instrText xml:space="preserve">PAGEREF _Toc191031122 \h</w:instrText>
        </w:r>
        <w:r>
          <w:rPr>
            <w:webHidden/>
          </w:rPr>
          <w:fldChar w:fldCharType="separate"/>
        </w:r>
        <w:r>
          <w:rPr>
            <w:rStyle w:val="Enlacedelndice"/>
            <w:vanish w:val="false"/>
          </w:rPr>
          <w:tab/>
          <w:t>60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3">
        <w:r>
          <w:rPr>
            <w:rStyle w:val="Enlacedelndice"/>
          </w:rPr>
          <w:t>49. Grafikoa: Igogailua duten familia etxebizitzen tasaren bilakaera (%). Pasaia eta bere testuingurua, 2010-2023</w:t>
        </w:r>
        <w:r>
          <w:rPr>
            <w:webHidden/>
          </w:rPr>
          <w:fldChar w:fldCharType="begin"/>
        </w:r>
        <w:r>
          <w:rPr>
            <w:webHidden/>
          </w:rPr>
          <w:instrText xml:space="preserve">PAGEREF _Toc191031123 \h</w:instrText>
        </w:r>
        <w:r>
          <w:rPr>
            <w:webHidden/>
          </w:rPr>
          <w:fldChar w:fldCharType="separate"/>
        </w:r>
        <w:r>
          <w:rPr>
            <w:rStyle w:val="Enlacedelndice"/>
            <w:vanish w:val="false"/>
          </w:rPr>
          <w:tab/>
          <w:t>61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4">
        <w:r>
          <w:rPr>
            <w:rStyle w:val="Enlacedelndice"/>
          </w:rPr>
          <w:t>50. Grafikoa: Etxebizitza ez-nagusien tasaren bilakaera (%). Pasaia, 2010-2023</w:t>
        </w:r>
        <w:r>
          <w:rPr>
            <w:webHidden/>
          </w:rPr>
          <w:fldChar w:fldCharType="begin"/>
        </w:r>
        <w:r>
          <w:rPr>
            <w:webHidden/>
          </w:rPr>
          <w:instrText xml:space="preserve">PAGEREF _Toc191031124 \h</w:instrText>
        </w:r>
        <w:r>
          <w:rPr>
            <w:webHidden/>
          </w:rPr>
          <w:fldChar w:fldCharType="separate"/>
        </w:r>
        <w:r>
          <w:rPr>
            <w:rStyle w:val="Enlacedelndice"/>
            <w:vanish w:val="false"/>
          </w:rPr>
          <w:tab/>
          <w:t>62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5">
        <w:r>
          <w:rPr>
            <w:rStyle w:val="Enlacedelndice"/>
          </w:rPr>
          <w:t>51. Grafikoa: Inor erroldatu gabeko etxebizitzen tasa (%). Pasaia, 2025</w:t>
        </w:r>
        <w:r>
          <w:rPr>
            <w:webHidden/>
          </w:rPr>
          <w:fldChar w:fldCharType="begin"/>
        </w:r>
        <w:r>
          <w:rPr>
            <w:webHidden/>
          </w:rPr>
          <w:instrText xml:space="preserve">PAGEREF _Toc191031125 \h</w:instrText>
        </w:r>
        <w:r>
          <w:rPr>
            <w:webHidden/>
          </w:rPr>
          <w:fldChar w:fldCharType="separate"/>
        </w:r>
        <w:r>
          <w:rPr>
            <w:rStyle w:val="Enlacedelndice"/>
            <w:vanish w:val="false"/>
          </w:rPr>
          <w:tab/>
          <w:t>63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6">
        <w:r>
          <w:rPr>
            <w:rStyle w:val="Enlacedelndice"/>
          </w:rPr>
          <w:t>52. Grafikoa: Etxebizitza eskaria udalerriaren arabera (%). Pasaia eta bere testuingurua, 2024</w:t>
        </w:r>
        <w:r>
          <w:rPr>
            <w:webHidden/>
          </w:rPr>
          <w:fldChar w:fldCharType="begin"/>
        </w:r>
        <w:r>
          <w:rPr>
            <w:webHidden/>
          </w:rPr>
          <w:instrText xml:space="preserve">PAGEREF _Toc191031126 \h</w:instrText>
        </w:r>
        <w:r>
          <w:rPr>
            <w:webHidden/>
          </w:rPr>
          <w:fldChar w:fldCharType="separate"/>
        </w:r>
        <w:r>
          <w:rPr>
            <w:rStyle w:val="Enlacedelndice"/>
            <w:vanish w:val="false"/>
          </w:rPr>
          <w:tab/>
          <w:t>65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7">
        <w:r>
          <w:rPr>
            <w:rStyle w:val="Enlacedelndice"/>
          </w:rPr>
          <w:t>53. Grafikoa: Etxebizitza eskaria erregimenaren eta bizilekuaren arabera (%). Pasaia, 2024</w:t>
        </w:r>
        <w:r>
          <w:rPr>
            <w:webHidden/>
          </w:rPr>
          <w:fldChar w:fldCharType="begin"/>
        </w:r>
        <w:r>
          <w:rPr>
            <w:webHidden/>
          </w:rPr>
          <w:instrText xml:space="preserve">PAGEREF _Toc191031127 \h</w:instrText>
        </w:r>
        <w:r>
          <w:rPr>
            <w:webHidden/>
          </w:rPr>
          <w:fldChar w:fldCharType="separate"/>
        </w:r>
        <w:r>
          <w:rPr>
            <w:rStyle w:val="Enlacedelndice"/>
            <w:vanish w:val="false"/>
          </w:rPr>
          <w:tab/>
          <w:t>66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8">
        <w:r>
          <w:rPr>
            <w:rStyle w:val="Enlacedelndice"/>
          </w:rPr>
          <w:t>54. Grafikoa: Etxebizitza eskaria diru-sarreraren eta bizilekuaren arabera (%). Pasaia, 2024</w:t>
        </w:r>
        <w:r>
          <w:rPr>
            <w:webHidden/>
          </w:rPr>
          <w:fldChar w:fldCharType="begin"/>
        </w:r>
        <w:r>
          <w:rPr>
            <w:webHidden/>
          </w:rPr>
          <w:instrText xml:space="preserve">PAGEREF _Toc191031128 \h</w:instrText>
        </w:r>
        <w:r>
          <w:rPr>
            <w:webHidden/>
          </w:rPr>
          <w:fldChar w:fldCharType="separate"/>
        </w:r>
        <w:r>
          <w:rPr>
            <w:rStyle w:val="Enlacedelndice"/>
            <w:vanish w:val="false"/>
          </w:rPr>
          <w:tab/>
          <w:t>67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29">
        <w:r>
          <w:rPr>
            <w:rStyle w:val="Enlacedelndice"/>
          </w:rPr>
          <w:t>55. Grafikoa: Etxebizitza eskaria kide kopuruaren eta bizilekuaren arabera (%). Pasaia, 2024</w:t>
        </w:r>
        <w:r>
          <w:rPr>
            <w:webHidden/>
          </w:rPr>
          <w:fldChar w:fldCharType="begin"/>
        </w:r>
        <w:r>
          <w:rPr>
            <w:webHidden/>
          </w:rPr>
          <w:instrText xml:space="preserve">PAGEREF _Toc191031129 \h</w:instrText>
        </w:r>
        <w:r>
          <w:rPr>
            <w:webHidden/>
          </w:rPr>
          <w:fldChar w:fldCharType="separate"/>
        </w:r>
        <w:r>
          <w:rPr>
            <w:rStyle w:val="Enlacedelndice"/>
            <w:vanish w:val="false"/>
          </w:rPr>
          <w:tab/>
          <w:t>68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0">
        <w:r>
          <w:rPr>
            <w:rStyle w:val="Enlacedelndice"/>
          </w:rPr>
          <w:t>56. Grafikoa: Etxebizitza eskaria generoaren eta bizilekuaren arabera (%). Pasaia, 2024</w:t>
        </w:r>
        <w:r>
          <w:rPr>
            <w:webHidden/>
          </w:rPr>
          <w:fldChar w:fldCharType="begin"/>
        </w:r>
        <w:r>
          <w:rPr>
            <w:webHidden/>
          </w:rPr>
          <w:instrText xml:space="preserve">PAGEREF _Toc191031130 \h</w:instrText>
        </w:r>
        <w:r>
          <w:rPr>
            <w:webHidden/>
          </w:rPr>
          <w:fldChar w:fldCharType="separate"/>
        </w:r>
        <w:r>
          <w:rPr>
            <w:rStyle w:val="Enlacedelndice"/>
            <w:vanish w:val="false"/>
          </w:rPr>
          <w:tab/>
          <w:t>69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1">
        <w:r>
          <w:rPr>
            <w:rStyle w:val="Enlacedelndice"/>
          </w:rPr>
          <w:t>57. Grafikoa: Etxebizitza salerosketak biztanleko ratioaren bilakaera (‰). Pasaia eta bere testuingurua, 2004-2023</w:t>
        </w:r>
        <w:r>
          <w:rPr>
            <w:webHidden/>
          </w:rPr>
          <w:fldChar w:fldCharType="begin"/>
        </w:r>
        <w:r>
          <w:rPr>
            <w:webHidden/>
          </w:rPr>
          <w:instrText xml:space="preserve">PAGEREF _Toc191031131 \h</w:instrText>
        </w:r>
        <w:r>
          <w:rPr>
            <w:webHidden/>
          </w:rPr>
          <w:fldChar w:fldCharType="separate"/>
        </w:r>
        <w:r>
          <w:rPr>
            <w:rStyle w:val="Enlacedelndice"/>
            <w:vanish w:val="false"/>
          </w:rPr>
          <w:tab/>
          <w:t>70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2">
        <w:r>
          <w:rPr>
            <w:rStyle w:val="Enlacedelndice"/>
          </w:rPr>
          <w:t>58. Grafikoa: Etxebizitza salerosketen bilakaera antzinatasunaren arabera (kop.). Pasaia, 2004-2024</w:t>
        </w:r>
        <w:r>
          <w:rPr>
            <w:webHidden/>
          </w:rPr>
          <w:fldChar w:fldCharType="begin"/>
        </w:r>
        <w:r>
          <w:rPr>
            <w:webHidden/>
          </w:rPr>
          <w:instrText xml:space="preserve">PAGEREF _Toc191031132 \h</w:instrText>
        </w:r>
        <w:r>
          <w:rPr>
            <w:webHidden/>
          </w:rPr>
          <w:fldChar w:fldCharType="separate"/>
        </w:r>
        <w:r>
          <w:rPr>
            <w:rStyle w:val="Enlacedelndice"/>
            <w:vanish w:val="false"/>
          </w:rPr>
          <w:tab/>
          <w:t>71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3">
        <w:r>
          <w:rPr>
            <w:rStyle w:val="Enlacedelndice"/>
          </w:rPr>
          <w:t>59. Grafikoa: Etxebizitza salerosketen bilakaera jabetzaren arabera (kop.). Pasaia, 2004-2024</w:t>
        </w:r>
        <w:r>
          <w:rPr>
            <w:webHidden/>
          </w:rPr>
          <w:fldChar w:fldCharType="begin"/>
        </w:r>
        <w:r>
          <w:rPr>
            <w:webHidden/>
          </w:rPr>
          <w:instrText xml:space="preserve">PAGEREF _Toc191031133 \h</w:instrText>
        </w:r>
        <w:r>
          <w:rPr>
            <w:webHidden/>
          </w:rPr>
          <w:fldChar w:fldCharType="separate"/>
        </w:r>
        <w:r>
          <w:rPr>
            <w:rStyle w:val="Enlacedelndice"/>
            <w:vanish w:val="false"/>
          </w:rPr>
          <w:tab/>
          <w:t>72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4">
        <w:r>
          <w:rPr>
            <w:rStyle w:val="Enlacedelndice"/>
          </w:rPr>
          <w:t>60. Grafikoa: Etxebizitza prezioaren bilakaera (k€). Pasaiaren testuingurua, 2012-2024</w:t>
        </w:r>
        <w:r>
          <w:rPr>
            <w:webHidden/>
          </w:rPr>
          <w:fldChar w:fldCharType="begin"/>
        </w:r>
        <w:r>
          <w:rPr>
            <w:webHidden/>
          </w:rPr>
          <w:instrText xml:space="preserve">PAGEREF _Toc191031134 \h</w:instrText>
        </w:r>
        <w:r>
          <w:rPr>
            <w:webHidden/>
          </w:rPr>
          <w:fldChar w:fldCharType="separate"/>
        </w:r>
        <w:r>
          <w:rPr>
            <w:rStyle w:val="Enlacedelndice"/>
            <w:vanish w:val="false"/>
          </w:rPr>
          <w:tab/>
          <w:t>73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5">
        <w:r>
          <w:rPr>
            <w:rStyle w:val="Enlacedelndice"/>
          </w:rPr>
          <w:t>61. Grafikoa: Etxebizitza prezioaren bilakaera m</w:t>
        </w:r>
        <w:r>
          <w:rPr>
            <w:rStyle w:val="Enlacedelndice"/>
            <w:vertAlign w:val="superscript"/>
          </w:rPr>
          <w:t>2</w:t>
        </w:r>
        <w:r>
          <w:rPr>
            <w:rStyle w:val="Enlacedelndice"/>
          </w:rPr>
          <w:t>-ko (€). Pasaiaren testuingurua, 2012-2024</w:t>
        </w:r>
        <w:r>
          <w:rPr>
            <w:webHidden/>
          </w:rPr>
          <w:fldChar w:fldCharType="begin"/>
        </w:r>
        <w:r>
          <w:rPr>
            <w:webHidden/>
          </w:rPr>
          <w:instrText xml:space="preserve">PAGEREF _Toc191031135 \h</w:instrText>
        </w:r>
        <w:r>
          <w:rPr>
            <w:webHidden/>
          </w:rPr>
          <w:fldChar w:fldCharType="separate"/>
        </w:r>
        <w:r>
          <w:rPr>
            <w:rStyle w:val="Enlacedelndice"/>
            <w:vanish w:val="false"/>
          </w:rPr>
          <w:tab/>
          <w:t>74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6">
        <w:r>
          <w:rPr>
            <w:rStyle w:val="Enlacedelndice"/>
          </w:rPr>
          <w:t>62. Grafikoa: Etxebizitza nagusien alokairu-tasaren bilakaera (%). Pasaia eta bere testuingurua, 2011-2023</w:t>
        </w:r>
        <w:r>
          <w:rPr>
            <w:webHidden/>
          </w:rPr>
          <w:fldChar w:fldCharType="begin"/>
        </w:r>
        <w:r>
          <w:rPr>
            <w:webHidden/>
          </w:rPr>
          <w:instrText xml:space="preserve">PAGEREF _Toc191031136 \h</w:instrText>
        </w:r>
        <w:r>
          <w:rPr>
            <w:webHidden/>
          </w:rPr>
          <w:fldChar w:fldCharType="separate"/>
        </w:r>
        <w:r>
          <w:rPr>
            <w:rStyle w:val="Enlacedelndice"/>
            <w:vanish w:val="false"/>
          </w:rPr>
          <w:tab/>
          <w:t>75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7">
        <w:r>
          <w:rPr>
            <w:rStyle w:val="Enlacedelndice"/>
          </w:rPr>
          <w:t>63. Grafikoa: Etxebizitza nagusiak jabetza motaren arabera (%). Pasaia eta bere testuingurua, 2023</w:t>
        </w:r>
        <w:r>
          <w:rPr>
            <w:webHidden/>
          </w:rPr>
          <w:fldChar w:fldCharType="begin"/>
        </w:r>
        <w:r>
          <w:rPr>
            <w:webHidden/>
          </w:rPr>
          <w:instrText xml:space="preserve">PAGEREF _Toc191031137 \h</w:instrText>
        </w:r>
        <w:r>
          <w:rPr>
            <w:webHidden/>
          </w:rPr>
          <w:fldChar w:fldCharType="separate"/>
        </w:r>
        <w:r>
          <w:rPr>
            <w:rStyle w:val="Enlacedelndice"/>
            <w:vanish w:val="false"/>
          </w:rPr>
          <w:tab/>
          <w:t>76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8">
        <w:r>
          <w:rPr>
            <w:rStyle w:val="Enlacedelndice"/>
          </w:rPr>
          <w:t>64. Grafikoa: Alokairu libreko fidantza kopuruak biztanleko ratioaren bilakaera kontratuaren hasiera urtearen arabera (‰). Pasaia eta bere testuingurua, 2016-2023</w:t>
        </w:r>
        <w:r>
          <w:rPr>
            <w:webHidden/>
          </w:rPr>
          <w:fldChar w:fldCharType="begin"/>
        </w:r>
        <w:r>
          <w:rPr>
            <w:webHidden/>
          </w:rPr>
          <w:instrText xml:space="preserve">PAGEREF _Toc191031138 \h</w:instrText>
        </w:r>
        <w:r>
          <w:rPr>
            <w:webHidden/>
          </w:rPr>
          <w:fldChar w:fldCharType="separate"/>
        </w:r>
        <w:r>
          <w:rPr>
            <w:rStyle w:val="Enlacedelndice"/>
            <w:vanish w:val="false"/>
          </w:rPr>
          <w:tab/>
          <w:t>77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39">
        <w:r>
          <w:rPr>
            <w:rStyle w:val="Enlacedelndice"/>
          </w:rPr>
          <w:t>65. Grafikoa: Alokairu libreko errentaren bilakaera kontratuaren hasiera urtearen arabera (€). Pasaia eta bere testuingurua, 2016-2023</w:t>
        </w:r>
        <w:r>
          <w:rPr>
            <w:webHidden/>
          </w:rPr>
          <w:fldChar w:fldCharType="begin"/>
        </w:r>
        <w:r>
          <w:rPr>
            <w:webHidden/>
          </w:rPr>
          <w:instrText xml:space="preserve">PAGEREF _Toc191031139 \h</w:instrText>
        </w:r>
        <w:r>
          <w:rPr>
            <w:webHidden/>
          </w:rPr>
          <w:fldChar w:fldCharType="separate"/>
        </w:r>
        <w:r>
          <w:rPr>
            <w:rStyle w:val="Enlacedelndice"/>
            <w:vanish w:val="false"/>
          </w:rPr>
          <w:tab/>
          <w:t>78</w:t>
        </w:r>
        <w:r>
          <w:rPr>
            <w:webHidden/>
          </w:rPr>
          <w:fldChar w:fldCharType="end"/>
        </w:r>
      </w:hyperlink>
    </w:p>
    <w:p>
      <w:pPr>
        <w:pStyle w:val="Tableoffigures"/>
        <w:tabs>
          <w:tab w:val="clear" w:pos="708"/>
          <w:tab w:val="right" w:pos="8494" w:leader="dot"/>
        </w:tabs>
        <w:rPr/>
      </w:pPr>
      <w:hyperlink w:anchor="_Toc191031140">
        <w:r>
          <w:rPr>
            <w:rStyle w:val="Enlacedelndice"/>
          </w:rPr>
          <w:t>66. Grafikoa: Alokairu libreko fidantza kopuruen bilakaera kontratuaren hasiera urtearen arabera (kop.). Pasaia eta bere barrutiak, 2016-2023</w:t>
        </w:r>
        <w:r>
          <w:rPr>
            <w:webHidden/>
          </w:rPr>
          <w:fldChar w:fldCharType="begin"/>
        </w:r>
        <w:r>
          <w:rPr>
            <w:webHidden/>
          </w:rPr>
          <w:instrText xml:space="preserve">PAGEREF _Toc191031140 \h</w:instrText>
        </w:r>
        <w:r>
          <w:rPr>
            <w:webHidden/>
          </w:rPr>
          <w:fldChar w:fldCharType="separate"/>
        </w:r>
        <w:r>
          <w:rPr>
            <w:rStyle w:val="Enlacedelndice"/>
            <w:vanish w:val="false"/>
          </w:rPr>
          <w:tab/>
          <w:t>79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1">
        <w:r>
          <w:rPr>
            <w:rStyle w:val="Enlacedelndice"/>
          </w:rPr>
          <w:t>67. Grafikoa: Alokairu libreko errentaren bilakaera kontratuaren hasiera urtearen arabera (kop.). Pasaia eta bere barrutiak, 2016-2023</w:t>
        </w:r>
        <w:r>
          <w:rPr>
            <w:webHidden/>
          </w:rPr>
          <w:fldChar w:fldCharType="begin"/>
        </w:r>
        <w:r>
          <w:rPr>
            <w:webHidden/>
          </w:rPr>
          <w:instrText xml:space="preserve">PAGEREF _Toc191031141 \h</w:instrText>
        </w:r>
        <w:r>
          <w:rPr>
            <w:webHidden/>
          </w:rPr>
          <w:fldChar w:fldCharType="separate"/>
        </w:r>
        <w:r>
          <w:rPr>
            <w:rStyle w:val="Enlacedelndice"/>
            <w:vanish w:val="false"/>
          </w:rPr>
          <w:tab/>
          <w:t>80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2">
        <w:r>
          <w:rPr>
            <w:rStyle w:val="Enlacedelndice"/>
          </w:rPr>
          <w:t>68. Grafikoa: Tentsio eremu izendatzeko 1. Irizpideko adierazleen hazkundea (%). Pasaia eta bere barrutiak, 2017-2023</w:t>
        </w:r>
        <w:r>
          <w:rPr>
            <w:webHidden/>
          </w:rPr>
          <w:fldChar w:fldCharType="begin"/>
        </w:r>
        <w:r>
          <w:rPr>
            <w:webHidden/>
          </w:rPr>
          <w:instrText xml:space="preserve">PAGEREF _Toc191031142 \h</w:instrText>
        </w:r>
        <w:r>
          <w:rPr>
            <w:webHidden/>
          </w:rPr>
          <w:fldChar w:fldCharType="separate"/>
        </w:r>
        <w:r>
          <w:rPr>
            <w:rStyle w:val="Enlacedelndice"/>
            <w:vanish w:val="false"/>
          </w:rPr>
          <w:tab/>
          <w:t>86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3">
        <w:r>
          <w:rPr>
            <w:rStyle w:val="Enlacedelndice"/>
          </w:rPr>
          <w:t>69. Grafikoa: Bizikidetza-unitateen diru sarrera eta ahalegin ekonomikoa (€). Pasaia eta bere barrutiak, 2021</w:t>
        </w:r>
        <w:r>
          <w:rPr>
            <w:webHidden/>
          </w:rPr>
          <w:fldChar w:fldCharType="begin"/>
        </w:r>
        <w:r>
          <w:rPr>
            <w:webHidden/>
          </w:rPr>
          <w:instrText xml:space="preserve">PAGEREF _Toc191031143 \h</w:instrText>
        </w:r>
        <w:r>
          <w:rPr>
            <w:webHidden/>
          </w:rPr>
          <w:fldChar w:fldCharType="separate"/>
        </w:r>
        <w:r>
          <w:rPr>
            <w:rStyle w:val="Enlacedelndice"/>
            <w:vanish w:val="false"/>
          </w:rPr>
          <w:tab/>
          <w:t>88</w:t>
        </w:r>
        <w:r>
          <w:rPr>
            <w:webHidden/>
          </w:rPr>
          <w:fldChar w:fldCharType="end"/>
        </w:r>
      </w:hyperlink>
      <w:r>
        <w:rPr>
          <w:rStyle w:val="Enlacedelndice"/>
          <w:vanish w:val="false"/>
        </w:rPr>
        <w:fldChar w:fldCharType="end"/>
      </w:r>
    </w:p>
    <w:p>
      <w:pPr>
        <w:pStyle w:val="Normal"/>
        <w:spacing w:lineRule="auto" w:line="276"/>
        <w:rPr/>
      </w:pPr>
      <w:r>
        <w:rPr>
          <w:rFonts w:ascii="Montserrat" w:hAnsi="Montserrat"/>
          <w:b/>
          <w:bCs/>
          <w:sz w:val="20"/>
          <w:szCs w:val="20"/>
          <w:lang w:eastAsia="eu-ES"/>
        </w:rPr>
        <w:t>| Taulak</w:t>
      </w:r>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r>
        <w:fldChar w:fldCharType="begin"/>
      </w:r>
      <w:r>
        <w:rPr>
          <w:rStyle w:val="Enlacedelndice"/>
        </w:rPr>
        <w:instrText xml:space="preserve"> TOC \c "Taula" \h </w:instrText>
      </w:r>
      <w:r>
        <w:rPr>
          <w:rStyle w:val="Enlacedelndice"/>
        </w:rPr>
        <w:fldChar w:fldCharType="separate"/>
      </w:r>
      <w:hyperlink w:anchor="_Toc191031144">
        <w:r>
          <w:rPr>
            <w:rStyle w:val="Enlacedelndice"/>
          </w:rPr>
          <w:t>1. Taula: Biztanleriaren bilakaera (kop.). Pasaia eta bere testuingurua, 2000-2025</w:t>
        </w:r>
        <w:r>
          <w:rPr>
            <w:webHidden/>
          </w:rPr>
          <w:fldChar w:fldCharType="begin"/>
        </w:r>
        <w:r>
          <w:rPr>
            <w:webHidden/>
          </w:rPr>
          <w:instrText xml:space="preserve">PAGEREF _Toc191031144 \h</w:instrText>
        </w:r>
        <w:r>
          <w:rPr>
            <w:webHidden/>
          </w:rPr>
          <w:fldChar w:fldCharType="separate"/>
        </w:r>
        <w:r>
          <w:rPr>
            <w:rStyle w:val="Enlacedelndice"/>
            <w:vanish w:val="false"/>
          </w:rPr>
          <w:tab/>
          <w:t>10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5">
        <w:r>
          <w:rPr>
            <w:rStyle w:val="Enlacedelndice"/>
          </w:rPr>
          <w:t>2. Taula: Biztanleriaren bilakaera (kop.). Pasaia eta bere barrutiak, 2004-2025</w:t>
        </w:r>
        <w:r>
          <w:rPr>
            <w:webHidden/>
          </w:rPr>
          <w:fldChar w:fldCharType="begin"/>
        </w:r>
        <w:r>
          <w:rPr>
            <w:webHidden/>
          </w:rPr>
          <w:instrText xml:space="preserve">PAGEREF _Toc191031145 \h</w:instrText>
        </w:r>
        <w:r>
          <w:rPr>
            <w:webHidden/>
          </w:rPr>
          <w:fldChar w:fldCharType="separate"/>
        </w:r>
        <w:r>
          <w:rPr>
            <w:rStyle w:val="Enlacedelndice"/>
            <w:vanish w:val="false"/>
          </w:rPr>
          <w:tab/>
          <w:t>11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6">
        <w:r>
          <w:rPr>
            <w:rStyle w:val="Enlacedelndice"/>
          </w:rPr>
          <w:t>3. Taula: Jaiotza tasaren bilakaera (‰). Pasaia, 2000-2024</w:t>
        </w:r>
        <w:r>
          <w:rPr>
            <w:webHidden/>
          </w:rPr>
          <w:fldChar w:fldCharType="begin"/>
        </w:r>
        <w:r>
          <w:rPr>
            <w:webHidden/>
          </w:rPr>
          <w:instrText xml:space="preserve">PAGEREF _Toc191031146 \h</w:instrText>
        </w:r>
        <w:r>
          <w:rPr>
            <w:webHidden/>
          </w:rPr>
          <w:fldChar w:fldCharType="separate"/>
        </w:r>
        <w:r>
          <w:rPr>
            <w:rStyle w:val="Enlacedelndice"/>
            <w:vanish w:val="false"/>
          </w:rPr>
          <w:tab/>
          <w:t>12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7">
        <w:r>
          <w:rPr>
            <w:rStyle w:val="Enlacedelndice"/>
          </w:rPr>
          <w:t>4. Taula: Biztanleriaren bilakaera sexuaren arabera (kop.). Pasaia, 2000-2025</w:t>
        </w:r>
        <w:r>
          <w:rPr>
            <w:webHidden/>
          </w:rPr>
          <w:fldChar w:fldCharType="begin"/>
        </w:r>
        <w:r>
          <w:rPr>
            <w:webHidden/>
          </w:rPr>
          <w:instrText xml:space="preserve">PAGEREF _Toc191031147 \h</w:instrText>
        </w:r>
        <w:r>
          <w:rPr>
            <w:webHidden/>
          </w:rPr>
          <w:fldChar w:fldCharType="separate"/>
        </w:r>
        <w:r>
          <w:rPr>
            <w:rStyle w:val="Enlacedelndice"/>
            <w:vanish w:val="false"/>
          </w:rPr>
          <w:tab/>
          <w:t>13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8">
        <w:r>
          <w:rPr>
            <w:rStyle w:val="Enlacedelndice"/>
          </w:rPr>
          <w:t>5. Taula: Biztanleriaren bilakaera adinaren arabera (kop.). Pasaia, 2000-2025</w:t>
        </w:r>
        <w:r>
          <w:rPr>
            <w:webHidden/>
          </w:rPr>
          <w:fldChar w:fldCharType="begin"/>
        </w:r>
        <w:r>
          <w:rPr>
            <w:webHidden/>
          </w:rPr>
          <w:instrText xml:space="preserve">PAGEREF _Toc191031148 \h</w:instrText>
        </w:r>
        <w:r>
          <w:rPr>
            <w:webHidden/>
          </w:rPr>
          <w:fldChar w:fldCharType="separate"/>
        </w:r>
        <w:r>
          <w:rPr>
            <w:rStyle w:val="Enlacedelndice"/>
            <w:vanish w:val="false"/>
          </w:rPr>
          <w:tab/>
          <w:t>14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49">
        <w:r>
          <w:rPr>
            <w:rStyle w:val="Enlacedelndice"/>
          </w:rPr>
          <w:t>6. Taula: Biztanleriaren bilakaera jaioterriaren arabera (kop.). Pasaia, 2009-2025</w:t>
        </w:r>
        <w:r>
          <w:rPr>
            <w:webHidden/>
          </w:rPr>
          <w:fldChar w:fldCharType="begin"/>
        </w:r>
        <w:r>
          <w:rPr>
            <w:webHidden/>
          </w:rPr>
          <w:instrText xml:space="preserve">PAGEREF _Toc191031149 \h</w:instrText>
        </w:r>
        <w:r>
          <w:rPr>
            <w:webHidden/>
          </w:rPr>
          <w:fldChar w:fldCharType="separate"/>
        </w:r>
        <w:r>
          <w:rPr>
            <w:rStyle w:val="Enlacedelndice"/>
            <w:vanish w:val="false"/>
          </w:rPr>
          <w:tab/>
          <w:t>17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0">
        <w:r>
          <w:rPr>
            <w:rStyle w:val="Enlacedelndice"/>
          </w:rPr>
          <w:t>7. Taula: Biztanleria adinaren eta barrutiaren arabera (kop.). Pasaia eta bere barrutiak, 2025</w:t>
        </w:r>
        <w:r>
          <w:rPr>
            <w:webHidden/>
          </w:rPr>
          <w:fldChar w:fldCharType="begin"/>
        </w:r>
        <w:r>
          <w:rPr>
            <w:webHidden/>
          </w:rPr>
          <w:instrText xml:space="preserve">PAGEREF _Toc191031150 \h</w:instrText>
        </w:r>
        <w:r>
          <w:rPr>
            <w:webHidden/>
          </w:rPr>
          <w:fldChar w:fldCharType="separate"/>
        </w:r>
        <w:r>
          <w:rPr>
            <w:rStyle w:val="Enlacedelndice"/>
            <w:vanish w:val="false"/>
          </w:rPr>
          <w:tab/>
          <w:t>18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1">
        <w:r>
          <w:rPr>
            <w:rStyle w:val="Enlacedelndice"/>
          </w:rPr>
          <w:t>8. Taula: Biztanleria jatorriaren eta barrutiaren arabera (kop.). Pasaia eta bere barrutiak, 2025</w:t>
        </w:r>
        <w:r>
          <w:rPr>
            <w:webHidden/>
          </w:rPr>
          <w:fldChar w:fldCharType="begin"/>
        </w:r>
        <w:r>
          <w:rPr>
            <w:webHidden/>
          </w:rPr>
          <w:instrText xml:space="preserve">PAGEREF _Toc191031151 \h</w:instrText>
        </w:r>
        <w:r>
          <w:rPr>
            <w:webHidden/>
          </w:rPr>
          <w:fldChar w:fldCharType="separate"/>
        </w:r>
        <w:r>
          <w:rPr>
            <w:rStyle w:val="Enlacedelndice"/>
            <w:vanish w:val="false"/>
          </w:rPr>
          <w:tab/>
          <w:t>20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2">
        <w:r>
          <w:rPr>
            <w:rStyle w:val="Enlacedelndice"/>
          </w:rPr>
          <w:t>9. Taula: Biztanleriaren alten eta bajen bilakaera (kop.). Pasaia, 2000-2024</w:t>
        </w:r>
        <w:r>
          <w:rPr>
            <w:webHidden/>
          </w:rPr>
          <w:fldChar w:fldCharType="begin"/>
        </w:r>
        <w:r>
          <w:rPr>
            <w:webHidden/>
          </w:rPr>
          <w:instrText xml:space="preserve">PAGEREF _Toc191031152 \h</w:instrText>
        </w:r>
        <w:r>
          <w:rPr>
            <w:webHidden/>
          </w:rPr>
          <w:fldChar w:fldCharType="separate"/>
        </w:r>
        <w:r>
          <w:rPr>
            <w:rStyle w:val="Enlacedelndice"/>
            <w:vanish w:val="false"/>
          </w:rPr>
          <w:tab/>
          <w:t>22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3">
        <w:r>
          <w:rPr>
            <w:rStyle w:val="Enlacedelndice"/>
          </w:rPr>
          <w:t>10. Taula: Alta eta bajen fluxua jatorriko eta helmugako lurraldearen arabera (kop.). Pasaia, 2009-2024</w:t>
        </w:r>
        <w:r>
          <w:rPr>
            <w:webHidden/>
          </w:rPr>
          <w:fldChar w:fldCharType="begin"/>
        </w:r>
        <w:r>
          <w:rPr>
            <w:webHidden/>
          </w:rPr>
          <w:instrText xml:space="preserve">PAGEREF _Toc191031153 \h</w:instrText>
        </w:r>
        <w:r>
          <w:rPr>
            <w:webHidden/>
          </w:rPr>
          <w:fldChar w:fldCharType="separate"/>
        </w:r>
        <w:r>
          <w:rPr>
            <w:rStyle w:val="Enlacedelndice"/>
            <w:vanish w:val="false"/>
          </w:rPr>
          <w:tab/>
          <w:t>29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4">
        <w:r>
          <w:rPr>
            <w:rStyle w:val="Enlacedelndice"/>
          </w:rPr>
          <w:t>11. Taula: Biztanleriaren prospektiba adinaren arabera (kop.). Pasaia, 2025-2040</w:t>
        </w:r>
        <w:r>
          <w:rPr>
            <w:webHidden/>
          </w:rPr>
          <w:fldChar w:fldCharType="begin"/>
        </w:r>
        <w:r>
          <w:rPr>
            <w:webHidden/>
          </w:rPr>
          <w:instrText xml:space="preserve">PAGEREF _Toc191031154 \h</w:instrText>
        </w:r>
        <w:r>
          <w:rPr>
            <w:webHidden/>
          </w:rPr>
          <w:fldChar w:fldCharType="separate"/>
        </w:r>
        <w:r>
          <w:rPr>
            <w:rStyle w:val="Enlacedelndice"/>
            <w:vanish w:val="false"/>
          </w:rPr>
          <w:tab/>
          <w:t>31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5">
        <w:r>
          <w:rPr>
            <w:rStyle w:val="Enlacedelndice"/>
          </w:rPr>
          <w:t>12. Taula: Bizikidetza-unitate kopuruaren eta batez besteko tamainaren bilakaera. Pasaia, 2009-2025</w:t>
        </w:r>
        <w:r>
          <w:rPr>
            <w:webHidden/>
          </w:rPr>
          <w:fldChar w:fldCharType="begin"/>
        </w:r>
        <w:r>
          <w:rPr>
            <w:webHidden/>
          </w:rPr>
          <w:instrText xml:space="preserve">PAGEREF _Toc191031155 \h</w:instrText>
        </w:r>
        <w:r>
          <w:rPr>
            <w:webHidden/>
          </w:rPr>
          <w:fldChar w:fldCharType="separate"/>
        </w:r>
        <w:r>
          <w:rPr>
            <w:rStyle w:val="Enlacedelndice"/>
            <w:vanish w:val="false"/>
          </w:rPr>
          <w:tab/>
          <w:t>34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6">
        <w:r>
          <w:rPr>
            <w:rStyle w:val="Enlacedelndice"/>
          </w:rPr>
          <w:t>13. Taula: Bizikidetza-unitateak auzoaren eta tamainaren arabera (kop.). Pasaia, 2025</w:t>
        </w:r>
        <w:r>
          <w:rPr>
            <w:webHidden/>
          </w:rPr>
          <w:fldChar w:fldCharType="begin"/>
        </w:r>
        <w:r>
          <w:rPr>
            <w:webHidden/>
          </w:rPr>
          <w:instrText xml:space="preserve">PAGEREF _Toc191031156 \h</w:instrText>
        </w:r>
        <w:r>
          <w:rPr>
            <w:webHidden/>
          </w:rPr>
          <w:fldChar w:fldCharType="separate"/>
        </w:r>
        <w:r>
          <w:rPr>
            <w:rStyle w:val="Enlacedelndice"/>
            <w:vanish w:val="false"/>
          </w:rPr>
          <w:tab/>
          <w:t>35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7">
        <w:r>
          <w:rPr>
            <w:rStyle w:val="Enlacedelndice"/>
          </w:rPr>
          <w:t>14. Taula: Bizikidetza-unitateen tipologia adinaren arabera (kop.). Pasaia, 2025</w:t>
        </w:r>
        <w:r>
          <w:rPr>
            <w:webHidden/>
          </w:rPr>
          <w:fldChar w:fldCharType="begin"/>
        </w:r>
        <w:r>
          <w:rPr>
            <w:webHidden/>
          </w:rPr>
          <w:instrText xml:space="preserve">PAGEREF _Toc191031157 \h</w:instrText>
        </w:r>
        <w:r>
          <w:rPr>
            <w:webHidden/>
          </w:rPr>
          <w:fldChar w:fldCharType="separate"/>
        </w:r>
        <w:r>
          <w:rPr>
            <w:rStyle w:val="Enlacedelndice"/>
            <w:vanish w:val="false"/>
          </w:rPr>
          <w:tab/>
          <w:t>37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8">
        <w:r>
          <w:rPr>
            <w:rStyle w:val="Enlacedelndice"/>
          </w:rPr>
          <w:t>15. Taula: Bizikidetza-unitateen tipologia jaiolekuaren arabera (kop.). Pasaia, 2025</w:t>
        </w:r>
        <w:r>
          <w:rPr>
            <w:webHidden/>
          </w:rPr>
          <w:fldChar w:fldCharType="begin"/>
        </w:r>
        <w:r>
          <w:rPr>
            <w:webHidden/>
          </w:rPr>
          <w:instrText xml:space="preserve">PAGEREF _Toc191031158 \h</w:instrText>
        </w:r>
        <w:r>
          <w:rPr>
            <w:webHidden/>
          </w:rPr>
          <w:fldChar w:fldCharType="separate"/>
        </w:r>
        <w:r>
          <w:rPr>
            <w:rStyle w:val="Enlacedelndice"/>
            <w:vanish w:val="false"/>
          </w:rPr>
          <w:tab/>
          <w:t>38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59">
        <w:r>
          <w:rPr>
            <w:rStyle w:val="Enlacedelndice"/>
          </w:rPr>
          <w:t>16. Taula: 18-34 urte bitarteko gazteak emantzipazio egoeraren eta auzoaren arabera (kop.). Pasaia, 2025</w:t>
        </w:r>
        <w:r>
          <w:rPr>
            <w:webHidden/>
          </w:rPr>
          <w:fldChar w:fldCharType="begin"/>
        </w:r>
        <w:r>
          <w:rPr>
            <w:webHidden/>
          </w:rPr>
          <w:instrText xml:space="preserve">PAGEREF _Toc191031159 \h</w:instrText>
        </w:r>
        <w:r>
          <w:rPr>
            <w:webHidden/>
          </w:rPr>
          <w:fldChar w:fldCharType="separate"/>
        </w:r>
        <w:r>
          <w:rPr>
            <w:rStyle w:val="Enlacedelndice"/>
            <w:vanish w:val="false"/>
          </w:rPr>
          <w:tab/>
          <w:t>40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0">
        <w:r>
          <w:rPr>
            <w:rStyle w:val="Enlacedelndice"/>
          </w:rPr>
          <w:t>17. Taula: Bizikidetza-unitateen prospektiba tamainaren eta urtearen arabera (kop.). Pasaia, 2025-2040</w:t>
        </w:r>
        <w:r>
          <w:rPr>
            <w:webHidden/>
          </w:rPr>
          <w:fldChar w:fldCharType="begin"/>
        </w:r>
        <w:r>
          <w:rPr>
            <w:webHidden/>
          </w:rPr>
          <w:instrText xml:space="preserve">PAGEREF _Toc191031160 \h</w:instrText>
        </w:r>
        <w:r>
          <w:rPr>
            <w:webHidden/>
          </w:rPr>
          <w:fldChar w:fldCharType="separate"/>
        </w:r>
        <w:r>
          <w:rPr>
            <w:rStyle w:val="Enlacedelndice"/>
            <w:vanish w:val="false"/>
          </w:rPr>
          <w:tab/>
          <w:t>43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1">
        <w:r>
          <w:rPr>
            <w:rStyle w:val="Enlacedelndice"/>
          </w:rPr>
          <w:t>18. Taula: Aktibitate-tasaren bilakaera sexuaren arabera (%). Pasaia, 2010-2023</w:t>
        </w:r>
        <w:r>
          <w:rPr>
            <w:webHidden/>
          </w:rPr>
          <w:fldChar w:fldCharType="begin"/>
        </w:r>
        <w:r>
          <w:rPr>
            <w:webHidden/>
          </w:rPr>
          <w:instrText xml:space="preserve">PAGEREF _Toc191031161 \h</w:instrText>
        </w:r>
        <w:r>
          <w:rPr>
            <w:webHidden/>
          </w:rPr>
          <w:fldChar w:fldCharType="separate"/>
        </w:r>
        <w:r>
          <w:rPr>
            <w:rStyle w:val="Enlacedelndice"/>
            <w:vanish w:val="false"/>
          </w:rPr>
          <w:tab/>
          <w:t>45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2">
        <w:r>
          <w:rPr>
            <w:rStyle w:val="Enlacedelndice"/>
          </w:rPr>
          <w:t>19. Taula: Okupazio-tasaren bilakaera sexuaren arabera (%). Pasaia, 2010-2023</w:t>
        </w:r>
        <w:r>
          <w:rPr>
            <w:webHidden/>
          </w:rPr>
          <w:fldChar w:fldCharType="begin"/>
        </w:r>
        <w:r>
          <w:rPr>
            <w:webHidden/>
          </w:rPr>
          <w:instrText xml:space="preserve">PAGEREF _Toc191031162 \h</w:instrText>
        </w:r>
        <w:r>
          <w:rPr>
            <w:webHidden/>
          </w:rPr>
          <w:fldChar w:fldCharType="separate"/>
        </w:r>
        <w:r>
          <w:rPr>
            <w:rStyle w:val="Enlacedelndice"/>
            <w:vanish w:val="false"/>
          </w:rPr>
          <w:tab/>
          <w:t>47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3">
        <w:r>
          <w:rPr>
            <w:rStyle w:val="Enlacedelndice"/>
          </w:rPr>
          <w:t>20. Taula: Langabezia-tasaren bilakaera sexuaren arabera (%). Pasaia, 2010-2023</w:t>
        </w:r>
        <w:r>
          <w:rPr>
            <w:webHidden/>
          </w:rPr>
          <w:fldChar w:fldCharType="begin"/>
        </w:r>
        <w:r>
          <w:rPr>
            <w:webHidden/>
          </w:rPr>
          <w:instrText xml:space="preserve">PAGEREF _Toc191031163 \h</w:instrText>
        </w:r>
        <w:r>
          <w:rPr>
            <w:webHidden/>
          </w:rPr>
          <w:fldChar w:fldCharType="separate"/>
        </w:r>
        <w:r>
          <w:rPr>
            <w:rStyle w:val="Enlacedelndice"/>
            <w:vanish w:val="false"/>
          </w:rPr>
          <w:tab/>
          <w:t>49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4">
        <w:r>
          <w:rPr>
            <w:rStyle w:val="Enlacedelndice"/>
          </w:rPr>
          <w:t>21. Taula: Familia-errenta erabilgarriaren bilakaera hartzaile nagusiaren sexuaren arabera (€). Pasaia, 2001-2022</w:t>
        </w:r>
        <w:r>
          <w:rPr>
            <w:webHidden/>
          </w:rPr>
          <w:fldChar w:fldCharType="begin"/>
        </w:r>
        <w:r>
          <w:rPr>
            <w:webHidden/>
          </w:rPr>
          <w:instrText xml:space="preserve">PAGEREF _Toc191031164 \h</w:instrText>
        </w:r>
        <w:r>
          <w:rPr>
            <w:webHidden/>
          </w:rPr>
          <w:fldChar w:fldCharType="separate"/>
        </w:r>
        <w:r>
          <w:rPr>
            <w:rStyle w:val="Enlacedelndice"/>
            <w:vanish w:val="false"/>
          </w:rPr>
          <w:tab/>
          <w:t>51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5">
        <w:r>
          <w:rPr>
            <w:rStyle w:val="Enlacedelndice"/>
          </w:rPr>
          <w:t>22. Taula: Errenta pertsonal erabilgarriaren bilakaera sexuaren arabera (€). Pasaia, 2001-2022</w:t>
        </w:r>
        <w:r>
          <w:rPr>
            <w:webHidden/>
          </w:rPr>
          <w:fldChar w:fldCharType="begin"/>
        </w:r>
        <w:r>
          <w:rPr>
            <w:webHidden/>
          </w:rPr>
          <w:instrText xml:space="preserve">PAGEREF _Toc191031165 \h</w:instrText>
        </w:r>
        <w:r>
          <w:rPr>
            <w:webHidden/>
          </w:rPr>
          <w:fldChar w:fldCharType="separate"/>
        </w:r>
        <w:r>
          <w:rPr>
            <w:rStyle w:val="Enlacedelndice"/>
            <w:vanish w:val="false"/>
          </w:rPr>
          <w:tab/>
          <w:t>54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6">
        <w:r>
          <w:rPr>
            <w:rStyle w:val="Enlacedelndice"/>
          </w:rPr>
          <w:t>23. Taula: Etxebizitza parkearen bilakaera motaren arabera (kop.). Pasaia 2010-2023</w:t>
        </w:r>
        <w:r>
          <w:rPr>
            <w:webHidden/>
          </w:rPr>
          <w:fldChar w:fldCharType="begin"/>
        </w:r>
        <w:r>
          <w:rPr>
            <w:webHidden/>
          </w:rPr>
          <w:instrText xml:space="preserve">PAGEREF _Toc191031166 \h</w:instrText>
        </w:r>
        <w:r>
          <w:rPr>
            <w:webHidden/>
          </w:rPr>
          <w:fldChar w:fldCharType="separate"/>
        </w:r>
        <w:r>
          <w:rPr>
            <w:rStyle w:val="Enlacedelndice"/>
            <w:vanish w:val="false"/>
          </w:rPr>
          <w:tab/>
          <w:t>55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7">
        <w:r>
          <w:rPr>
            <w:rStyle w:val="Enlacedelndice"/>
          </w:rPr>
          <w:t>24. Taula: Etxebizitza nagusien bilakaera biztanle kopuruaren arabera (kop.). Pasaia, 2010-2023</w:t>
        </w:r>
        <w:r>
          <w:rPr>
            <w:webHidden/>
          </w:rPr>
          <w:fldChar w:fldCharType="begin"/>
        </w:r>
        <w:r>
          <w:rPr>
            <w:webHidden/>
          </w:rPr>
          <w:instrText xml:space="preserve">PAGEREF _Toc191031167 \h</w:instrText>
        </w:r>
        <w:r>
          <w:rPr>
            <w:webHidden/>
          </w:rPr>
          <w:fldChar w:fldCharType="separate"/>
        </w:r>
        <w:r>
          <w:rPr>
            <w:rStyle w:val="Enlacedelndice"/>
            <w:vanish w:val="false"/>
          </w:rPr>
          <w:tab/>
          <w:t>57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8">
        <w:r>
          <w:rPr>
            <w:rStyle w:val="Enlacedelndice"/>
          </w:rPr>
          <w:t>25. Taula: Etxebizitza parkea azaleraren eta auzoaren arabera (kop.). Pasaia, 2023</w:t>
        </w:r>
        <w:r>
          <w:rPr>
            <w:webHidden/>
          </w:rPr>
          <w:fldChar w:fldCharType="begin"/>
        </w:r>
        <w:r>
          <w:rPr>
            <w:webHidden/>
          </w:rPr>
          <w:instrText xml:space="preserve">PAGEREF _Toc191031168 \h</w:instrText>
        </w:r>
        <w:r>
          <w:rPr>
            <w:webHidden/>
          </w:rPr>
          <w:fldChar w:fldCharType="separate"/>
        </w:r>
        <w:r>
          <w:rPr>
            <w:rStyle w:val="Enlacedelndice"/>
            <w:vanish w:val="false"/>
          </w:rPr>
          <w:tab/>
          <w:t>60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69">
        <w:r>
          <w:rPr>
            <w:rStyle w:val="Enlacedelndice"/>
          </w:rPr>
          <w:t>26. Taula: Etxebizitzak erabilera mailaren eta auzoaren arabera (kop.). Pasaia, 2025</w:t>
        </w:r>
        <w:r>
          <w:rPr>
            <w:webHidden/>
          </w:rPr>
          <w:fldChar w:fldCharType="begin"/>
        </w:r>
        <w:r>
          <w:rPr>
            <w:webHidden/>
          </w:rPr>
          <w:instrText xml:space="preserve">PAGEREF _Toc191031169 \h</w:instrText>
        </w:r>
        <w:r>
          <w:rPr>
            <w:webHidden/>
          </w:rPr>
          <w:fldChar w:fldCharType="separate"/>
        </w:r>
        <w:r>
          <w:rPr>
            <w:rStyle w:val="Enlacedelndice"/>
            <w:vanish w:val="false"/>
          </w:rPr>
          <w:tab/>
          <w:t>63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0">
        <w:r>
          <w:rPr>
            <w:rStyle w:val="Enlacedelndice"/>
          </w:rPr>
          <w:t>27. Taula: Etxebizitza eskaria erregimenaren eta bizilekuaren arabera (kop.). Pasaia, 2024</w:t>
        </w:r>
        <w:r>
          <w:rPr>
            <w:webHidden/>
          </w:rPr>
          <w:fldChar w:fldCharType="begin"/>
        </w:r>
        <w:r>
          <w:rPr>
            <w:webHidden/>
          </w:rPr>
          <w:instrText xml:space="preserve">PAGEREF _Toc191031170 \h</w:instrText>
        </w:r>
        <w:r>
          <w:rPr>
            <w:webHidden/>
          </w:rPr>
          <w:fldChar w:fldCharType="separate"/>
        </w:r>
        <w:r>
          <w:rPr>
            <w:rStyle w:val="Enlacedelndice"/>
            <w:vanish w:val="false"/>
          </w:rPr>
          <w:tab/>
          <w:t>65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1">
        <w:r>
          <w:rPr>
            <w:rStyle w:val="Enlacedelndice"/>
          </w:rPr>
          <w:t>28. Taula: Etxebizitza eskaria diru-sarreraren eta bizilekuaren arabera (kop.). Pasaia, 2024</w:t>
        </w:r>
        <w:r>
          <w:rPr>
            <w:webHidden/>
          </w:rPr>
          <w:fldChar w:fldCharType="begin"/>
        </w:r>
        <w:r>
          <w:rPr>
            <w:webHidden/>
          </w:rPr>
          <w:instrText xml:space="preserve">PAGEREF _Toc191031171 \h</w:instrText>
        </w:r>
        <w:r>
          <w:rPr>
            <w:webHidden/>
          </w:rPr>
          <w:fldChar w:fldCharType="separate"/>
        </w:r>
        <w:r>
          <w:rPr>
            <w:rStyle w:val="Enlacedelndice"/>
            <w:vanish w:val="false"/>
          </w:rPr>
          <w:tab/>
          <w:t>67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2">
        <w:r>
          <w:rPr>
            <w:rStyle w:val="Enlacedelndice"/>
          </w:rPr>
          <w:t>29. Taula: Etxebizitza eskaria kide kopuruaren eta bizilekuaren arabera (kop.). Pasaia, 2024</w:t>
        </w:r>
        <w:r>
          <w:rPr>
            <w:webHidden/>
          </w:rPr>
          <w:fldChar w:fldCharType="begin"/>
        </w:r>
        <w:r>
          <w:rPr>
            <w:webHidden/>
          </w:rPr>
          <w:instrText xml:space="preserve">PAGEREF _Toc191031172 \h</w:instrText>
        </w:r>
        <w:r>
          <w:rPr>
            <w:webHidden/>
          </w:rPr>
          <w:fldChar w:fldCharType="separate"/>
        </w:r>
        <w:r>
          <w:rPr>
            <w:rStyle w:val="Enlacedelndice"/>
            <w:vanish w:val="false"/>
          </w:rPr>
          <w:tab/>
          <w:t>68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3">
        <w:r>
          <w:rPr>
            <w:rStyle w:val="Enlacedelndice"/>
          </w:rPr>
          <w:t>30. Taula: Etxebizitza eskaria generoaren eta bizilekuaren arabera (kop.). Pasaia, 2024</w:t>
        </w:r>
        <w:r>
          <w:rPr>
            <w:webHidden/>
          </w:rPr>
          <w:fldChar w:fldCharType="begin"/>
        </w:r>
        <w:r>
          <w:rPr>
            <w:webHidden/>
          </w:rPr>
          <w:instrText xml:space="preserve">PAGEREF _Toc191031173 \h</w:instrText>
        </w:r>
        <w:r>
          <w:rPr>
            <w:webHidden/>
          </w:rPr>
          <w:fldChar w:fldCharType="separate"/>
        </w:r>
        <w:r>
          <w:rPr>
            <w:rStyle w:val="Enlacedelndice"/>
            <w:vanish w:val="false"/>
          </w:rPr>
          <w:tab/>
          <w:t>69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4">
        <w:r>
          <w:rPr>
            <w:rStyle w:val="Enlacedelndice"/>
          </w:rPr>
          <w:t>31. Taula: Etxebizitza salerosketak antzinatasunaren eta jabetzaren arabera. Pasaia, 2004-2024</w:t>
        </w:r>
        <w:r>
          <w:rPr>
            <w:webHidden/>
          </w:rPr>
          <w:fldChar w:fldCharType="begin"/>
        </w:r>
        <w:r>
          <w:rPr>
            <w:webHidden/>
          </w:rPr>
          <w:instrText xml:space="preserve">PAGEREF _Toc191031174 \h</w:instrText>
        </w:r>
        <w:r>
          <w:rPr>
            <w:webHidden/>
          </w:rPr>
          <w:fldChar w:fldCharType="separate"/>
        </w:r>
        <w:r>
          <w:rPr>
            <w:rStyle w:val="Enlacedelndice"/>
            <w:vanish w:val="false"/>
          </w:rPr>
          <w:tab/>
          <w:t>71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5">
        <w:r>
          <w:rPr>
            <w:rStyle w:val="Enlacedelndice"/>
          </w:rPr>
          <w:t>32. Taula: Etxebizitza prezioaren bilakaera (€). Pasaiaren testuingurua, 2012-2024</w:t>
        </w:r>
        <w:r>
          <w:rPr>
            <w:webHidden/>
          </w:rPr>
          <w:fldChar w:fldCharType="begin"/>
        </w:r>
        <w:r>
          <w:rPr>
            <w:webHidden/>
          </w:rPr>
          <w:instrText xml:space="preserve">PAGEREF _Toc191031175 \h</w:instrText>
        </w:r>
        <w:r>
          <w:rPr>
            <w:webHidden/>
          </w:rPr>
          <w:fldChar w:fldCharType="separate"/>
        </w:r>
        <w:r>
          <w:rPr>
            <w:rStyle w:val="Enlacedelndice"/>
            <w:vanish w:val="false"/>
          </w:rPr>
          <w:tab/>
          <w:t>73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6">
        <w:r>
          <w:rPr>
            <w:rStyle w:val="Enlacedelndice"/>
          </w:rPr>
          <w:t>33. Taula: Etxebizitza prezioaren bilakaera m</w:t>
        </w:r>
        <w:r>
          <w:rPr>
            <w:rStyle w:val="Enlacedelndice"/>
            <w:vertAlign w:val="superscript"/>
          </w:rPr>
          <w:t>2</w:t>
        </w:r>
        <w:r>
          <w:rPr>
            <w:rStyle w:val="Enlacedelndice"/>
          </w:rPr>
          <w:t>-ko (€). Pasaiaren testuingurua, 2012-2024</w:t>
        </w:r>
        <w:r>
          <w:rPr>
            <w:webHidden/>
          </w:rPr>
          <w:fldChar w:fldCharType="begin"/>
        </w:r>
        <w:r>
          <w:rPr>
            <w:webHidden/>
          </w:rPr>
          <w:instrText xml:space="preserve">PAGEREF _Toc191031176 \h</w:instrText>
        </w:r>
        <w:r>
          <w:rPr>
            <w:webHidden/>
          </w:rPr>
          <w:fldChar w:fldCharType="separate"/>
        </w:r>
        <w:r>
          <w:rPr>
            <w:rStyle w:val="Enlacedelndice"/>
            <w:vanish w:val="false"/>
          </w:rPr>
          <w:tab/>
          <w:t>74</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7">
        <w:r>
          <w:rPr>
            <w:rStyle w:val="Enlacedelndice"/>
          </w:rPr>
          <w:t>34. Taula: Etxebizitza nagusiak jabetza motaren arabera (kop.). Pasaia, 2011-2023</w:t>
        </w:r>
        <w:r>
          <w:rPr>
            <w:webHidden/>
          </w:rPr>
          <w:fldChar w:fldCharType="begin"/>
        </w:r>
        <w:r>
          <w:rPr>
            <w:webHidden/>
          </w:rPr>
          <w:instrText xml:space="preserve">PAGEREF _Toc191031177 \h</w:instrText>
        </w:r>
        <w:r>
          <w:rPr>
            <w:webHidden/>
          </w:rPr>
          <w:fldChar w:fldCharType="separate"/>
        </w:r>
        <w:r>
          <w:rPr>
            <w:rStyle w:val="Enlacedelndice"/>
            <w:vanish w:val="false"/>
          </w:rPr>
          <w:tab/>
          <w:t>76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8">
        <w:r>
          <w:rPr>
            <w:rStyle w:val="Enlacedelndice"/>
          </w:rPr>
          <w:t>35. Taula: Alokairu libreko fidantza kopuruak biztanleko ratioaren bilakaera kontratuaren hasiera urtearen arabera (‰). Pasaia eta bere testuingurua, 2016-2025</w:t>
        </w:r>
        <w:r>
          <w:rPr>
            <w:webHidden/>
          </w:rPr>
          <w:fldChar w:fldCharType="begin"/>
        </w:r>
        <w:r>
          <w:rPr>
            <w:webHidden/>
          </w:rPr>
          <w:instrText xml:space="preserve">PAGEREF _Toc191031178 \h</w:instrText>
        </w:r>
        <w:r>
          <w:rPr>
            <w:webHidden/>
          </w:rPr>
          <w:fldChar w:fldCharType="separate"/>
        </w:r>
        <w:r>
          <w:rPr>
            <w:rStyle w:val="Enlacedelndice"/>
            <w:vanish w:val="false"/>
          </w:rPr>
          <w:tab/>
          <w:t>77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79">
        <w:r>
          <w:rPr>
            <w:rStyle w:val="Enlacedelndice"/>
          </w:rPr>
          <w:t>36. Taula: Alokairu libreko alokairu-errentaren bilakaera kontratuaren hasiera urtearen arabera (‰). Pasaia eta bere testuingurua, 2016-2023</w:t>
        </w:r>
        <w:r>
          <w:rPr>
            <w:webHidden/>
          </w:rPr>
          <w:fldChar w:fldCharType="begin"/>
        </w:r>
        <w:r>
          <w:rPr>
            <w:webHidden/>
          </w:rPr>
          <w:instrText xml:space="preserve">PAGEREF _Toc191031179 \h</w:instrText>
        </w:r>
        <w:r>
          <w:rPr>
            <w:webHidden/>
          </w:rPr>
          <w:fldChar w:fldCharType="separate"/>
        </w:r>
        <w:r>
          <w:rPr>
            <w:rStyle w:val="Enlacedelndice"/>
            <w:vanish w:val="false"/>
          </w:rPr>
          <w:tab/>
          <w:t>78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0">
        <w:r>
          <w:rPr>
            <w:rStyle w:val="Enlacedelndice"/>
          </w:rPr>
          <w:t>37. Taula: Alokairu libreko fidantza kopuruen bilakaera kontratuaren hasiera urtearen arabera (kop.). Pasaia eta bere barrutiak, 2016-2023</w:t>
        </w:r>
        <w:r>
          <w:rPr>
            <w:webHidden/>
          </w:rPr>
          <w:fldChar w:fldCharType="begin"/>
        </w:r>
        <w:r>
          <w:rPr>
            <w:webHidden/>
          </w:rPr>
          <w:instrText xml:space="preserve">PAGEREF _Toc191031180 \h</w:instrText>
        </w:r>
        <w:r>
          <w:rPr>
            <w:webHidden/>
          </w:rPr>
          <w:fldChar w:fldCharType="separate"/>
        </w:r>
        <w:r>
          <w:rPr>
            <w:rStyle w:val="Enlacedelndice"/>
            <w:vanish w:val="false"/>
          </w:rPr>
          <w:tab/>
          <w:t>79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1">
        <w:r>
          <w:rPr>
            <w:rStyle w:val="Enlacedelndice"/>
          </w:rPr>
          <w:t>38. Taula: Alokairu libreko errentaren bilakaera kontratuaren hasiera urtearen arabera (kop.). Pasaia eta bere barrutiak, 2016-2023</w:t>
        </w:r>
        <w:r>
          <w:rPr>
            <w:webHidden/>
          </w:rPr>
          <w:fldChar w:fldCharType="begin"/>
        </w:r>
        <w:r>
          <w:rPr>
            <w:webHidden/>
          </w:rPr>
          <w:instrText xml:space="preserve">PAGEREF _Toc191031181 \h</w:instrText>
        </w:r>
        <w:r>
          <w:rPr>
            <w:webHidden/>
          </w:rPr>
          <w:fldChar w:fldCharType="separate"/>
        </w:r>
        <w:r>
          <w:rPr>
            <w:rStyle w:val="Enlacedelndice"/>
            <w:vanish w:val="false"/>
          </w:rPr>
          <w:tab/>
          <w:t>80</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2">
        <w:r>
          <w:rPr>
            <w:rStyle w:val="Enlacedelndice"/>
          </w:rPr>
          <w:t>39. Taula: Babestutako etxebizitza parkea egoeraren arabera (kop.). Pasaia, 2024</w:t>
        </w:r>
        <w:r>
          <w:rPr>
            <w:webHidden/>
          </w:rPr>
          <w:fldChar w:fldCharType="begin"/>
        </w:r>
        <w:r>
          <w:rPr>
            <w:webHidden/>
          </w:rPr>
          <w:instrText xml:space="preserve">PAGEREF _Toc191031182 \h</w:instrText>
        </w:r>
        <w:r>
          <w:rPr>
            <w:webHidden/>
          </w:rPr>
          <w:fldChar w:fldCharType="separate"/>
        </w:r>
        <w:r>
          <w:rPr>
            <w:rStyle w:val="Enlacedelndice"/>
            <w:vanish w:val="false"/>
          </w:rPr>
          <w:tab/>
          <w:t>81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3">
        <w:r>
          <w:rPr>
            <w:rStyle w:val="Enlacedelndice"/>
          </w:rPr>
          <w:t>40. Taula: Babestutako etxebizitza parkea espediente motaren arabera (kop.). Pasaia, 2024</w:t>
        </w:r>
        <w:r>
          <w:rPr>
            <w:webHidden/>
          </w:rPr>
          <w:fldChar w:fldCharType="begin"/>
        </w:r>
        <w:r>
          <w:rPr>
            <w:webHidden/>
          </w:rPr>
          <w:instrText xml:space="preserve">PAGEREF _Toc191031183 \h</w:instrText>
        </w:r>
        <w:r>
          <w:rPr>
            <w:webHidden/>
          </w:rPr>
          <w:fldChar w:fldCharType="separate"/>
        </w:r>
        <w:r>
          <w:rPr>
            <w:rStyle w:val="Enlacedelndice"/>
            <w:vanish w:val="false"/>
          </w:rPr>
          <w:tab/>
          <w:t>81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4">
        <w:r>
          <w:rPr>
            <w:rStyle w:val="Enlacedelndice"/>
          </w:rPr>
          <w:t>41. Taula: EPO onuradunak ezaugarrien arabera (kop.). Pasaia, 2024</w:t>
        </w:r>
        <w:r>
          <w:rPr>
            <w:webHidden/>
          </w:rPr>
          <w:fldChar w:fldCharType="begin"/>
        </w:r>
        <w:r>
          <w:rPr>
            <w:webHidden/>
          </w:rPr>
          <w:instrText xml:space="preserve">PAGEREF _Toc191031184 \h</w:instrText>
        </w:r>
        <w:r>
          <w:rPr>
            <w:webHidden/>
          </w:rPr>
          <w:fldChar w:fldCharType="separate"/>
        </w:r>
        <w:r>
          <w:rPr>
            <w:rStyle w:val="Enlacedelndice"/>
            <w:vanish w:val="false"/>
          </w:rPr>
          <w:tab/>
          <w:t>82</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5">
        <w:r>
          <w:rPr>
            <w:rStyle w:val="Enlacedelndice"/>
          </w:rPr>
          <w:t>42. Taula: Gaztelagun programako onuradunak ezaugarrien arabera (kop.). Pasaia, 2024</w:t>
        </w:r>
        <w:r>
          <w:rPr>
            <w:webHidden/>
          </w:rPr>
          <w:fldChar w:fldCharType="begin"/>
        </w:r>
        <w:r>
          <w:rPr>
            <w:webHidden/>
          </w:rPr>
          <w:instrText xml:space="preserve">PAGEREF _Toc191031185 \h</w:instrText>
        </w:r>
        <w:r>
          <w:rPr>
            <w:webHidden/>
          </w:rPr>
          <w:fldChar w:fldCharType="separate"/>
        </w:r>
        <w:r>
          <w:rPr>
            <w:rStyle w:val="Enlacedelndice"/>
            <w:vanish w:val="false"/>
          </w:rPr>
          <w:tab/>
          <w:t>83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6">
        <w:r>
          <w:rPr>
            <w:rStyle w:val="Enlacedelndice"/>
          </w:rPr>
          <w:t>43. Taula: Etxebizitza eskuratzeko eskabideak ezaugarrien arabera (kop.). Pasaia, 2024</w:t>
        </w:r>
        <w:r>
          <w:rPr>
            <w:webHidden/>
          </w:rPr>
          <w:fldChar w:fldCharType="begin"/>
        </w:r>
        <w:r>
          <w:rPr>
            <w:webHidden/>
          </w:rPr>
          <w:instrText xml:space="preserve">PAGEREF _Toc191031186 \h</w:instrText>
        </w:r>
        <w:r>
          <w:rPr>
            <w:webHidden/>
          </w:rPr>
          <w:fldChar w:fldCharType="separate"/>
        </w:r>
        <w:r>
          <w:rPr>
            <w:rStyle w:val="Enlacedelndice"/>
            <w:vanish w:val="false"/>
          </w:rPr>
          <w:tab/>
          <w:t>83</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7">
        <w:r>
          <w:rPr>
            <w:rStyle w:val="Enlacedelndice"/>
          </w:rPr>
          <w:t>44. Taula: Alokairu libreko alokairu-errentaren bilakaera eta hazkundea. Pasaia eta bere barrutiak, 2017-2023</w:t>
        </w:r>
        <w:r>
          <w:rPr>
            <w:webHidden/>
          </w:rPr>
          <w:fldChar w:fldCharType="begin"/>
        </w:r>
        <w:r>
          <w:rPr>
            <w:webHidden/>
          </w:rPr>
          <w:instrText xml:space="preserve">PAGEREF _Toc191031187 \h</w:instrText>
        </w:r>
        <w:r>
          <w:rPr>
            <w:webHidden/>
          </w:rPr>
          <w:fldChar w:fldCharType="separate"/>
        </w:r>
        <w:r>
          <w:rPr>
            <w:rStyle w:val="Enlacedelndice"/>
            <w:vanish w:val="false"/>
          </w:rPr>
          <w:tab/>
          <w:t>85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8">
        <w:r>
          <w:rPr>
            <w:rStyle w:val="Enlacedelndice"/>
          </w:rPr>
          <w:t>45. Taula: Kontsumoko Prezioen Indize (KPI) orokorraren bilakaera eta hazkundea. EAE, 2017-2023</w:t>
        </w:r>
        <w:r>
          <w:rPr>
            <w:webHidden/>
          </w:rPr>
          <w:fldChar w:fldCharType="begin"/>
        </w:r>
        <w:r>
          <w:rPr>
            <w:webHidden/>
          </w:rPr>
          <w:instrText xml:space="preserve">PAGEREF _Toc191031188 \h</w:instrText>
        </w:r>
        <w:r>
          <w:rPr>
            <w:webHidden/>
          </w:rPr>
          <w:fldChar w:fldCharType="separate"/>
        </w:r>
        <w:r>
          <w:rPr>
            <w:rStyle w:val="Enlacedelndice"/>
            <w:vanish w:val="false"/>
          </w:rPr>
          <w:tab/>
          <w:t>85</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89">
        <w:r>
          <w:rPr>
            <w:rStyle w:val="Enlacedelndice"/>
          </w:rPr>
          <w:t>46. Taula: Oinarrizko hornigaien gastua motaren arabera. EAE, 2021</w:t>
        </w:r>
        <w:r>
          <w:rPr>
            <w:webHidden/>
          </w:rPr>
          <w:fldChar w:fldCharType="begin"/>
        </w:r>
        <w:r>
          <w:rPr>
            <w:webHidden/>
          </w:rPr>
          <w:instrText xml:space="preserve">PAGEREF _Toc191031189 \h</w:instrText>
        </w:r>
        <w:r>
          <w:rPr>
            <w:webHidden/>
          </w:rPr>
          <w:fldChar w:fldCharType="separate"/>
        </w:r>
        <w:r>
          <w:rPr>
            <w:rStyle w:val="Enlacedelndice"/>
            <w:vanish w:val="false"/>
          </w:rPr>
          <w:tab/>
          <w:t>87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0">
        <w:r>
          <w:rPr>
            <w:rStyle w:val="Enlacedelndice"/>
          </w:rPr>
          <w:t>47. Taula: Bizikidetza-unitateen urteko diru sarrera eta ahalegin ekonomikoa barrutiaren arabera (€). Pasaia, 2021</w:t>
        </w:r>
        <w:r>
          <w:rPr>
            <w:webHidden/>
          </w:rPr>
          <w:fldChar w:fldCharType="begin"/>
        </w:r>
        <w:r>
          <w:rPr>
            <w:webHidden/>
          </w:rPr>
          <w:instrText xml:space="preserve">PAGEREF _Toc191031190 \h</w:instrText>
        </w:r>
        <w:r>
          <w:rPr>
            <w:webHidden/>
          </w:rPr>
          <w:fldChar w:fldCharType="separate"/>
        </w:r>
        <w:r>
          <w:rPr>
            <w:rStyle w:val="Enlacedelndice"/>
            <w:vanish w:val="false"/>
          </w:rPr>
          <w:tab/>
          <w:t>87</w:t>
        </w:r>
        <w:r>
          <w:rPr>
            <w:webHidden/>
          </w:rPr>
          <w:fldChar w:fldCharType="end"/>
        </w:r>
      </w:hyperlink>
      <w:r>
        <w:rPr>
          <w:rStyle w:val="Enlacedelndice"/>
          <w:vanish w:val="false"/>
        </w:rPr>
        <w:fldChar w:fldCharType="end"/>
      </w:r>
    </w:p>
    <w:p>
      <w:pPr>
        <w:pStyle w:val="Normal"/>
        <w:rPr>
          <w:lang w:eastAsia="eu-ES"/>
        </w:rPr>
      </w:pPr>
      <w:r>
        <w:rPr>
          <w:lang w:eastAsia="eu-ES"/>
        </w:rPr>
      </w:r>
    </w:p>
    <w:p>
      <w:pPr>
        <w:pStyle w:val="Normal"/>
        <w:rPr>
          <w:lang w:eastAsia="eu-ES"/>
        </w:rPr>
      </w:pPr>
      <w:r>
        <w:rPr>
          <w:lang w:eastAsia="eu-ES"/>
        </w:rPr>
      </w:r>
    </w:p>
    <w:p>
      <w:pPr>
        <w:pStyle w:val="Normal"/>
        <w:spacing w:lineRule="auto" w:line="276"/>
        <w:rPr>
          <w:sz w:val="20"/>
          <w:szCs w:val="20"/>
          <w:lang w:eastAsia="eu-ES"/>
        </w:rPr>
      </w:pPr>
      <w:r>
        <w:rPr>
          <w:rFonts w:ascii="Montserrat" w:hAnsi="Montserrat"/>
          <w:b/>
          <w:bCs/>
          <w:sz w:val="20"/>
          <w:szCs w:val="20"/>
          <w:lang w:eastAsia="eu-ES"/>
        </w:rPr>
        <w:t>| Irudiak</w:t>
      </w:r>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r>
        <w:fldChar w:fldCharType="begin"/>
      </w:r>
      <w:r>
        <w:rPr>
          <w:rStyle w:val="Enlacedelndice"/>
        </w:rPr>
        <w:instrText xml:space="preserve"> TOC \c "Irudia" \h </w:instrText>
      </w:r>
      <w:r>
        <w:rPr>
          <w:rStyle w:val="Enlacedelndice"/>
        </w:rPr>
        <w:fldChar w:fldCharType="separate"/>
      </w:r>
      <w:hyperlink w:anchor="_Toc191031191">
        <w:r>
          <w:rPr>
            <w:rStyle w:val="Enlacedelndice"/>
          </w:rPr>
          <w:t>1. Irudia: Biztanleriaren bero mapa. Pasaia , 2025</w:t>
        </w:r>
        <w:r>
          <w:rPr>
            <w:webHidden/>
          </w:rPr>
          <w:fldChar w:fldCharType="begin"/>
        </w:r>
        <w:r>
          <w:rPr>
            <w:webHidden/>
          </w:rPr>
          <w:instrText xml:space="preserve">PAGEREF _Toc191031191 \h</w:instrText>
        </w:r>
        <w:r>
          <w:rPr>
            <w:webHidden/>
          </w:rPr>
          <w:fldChar w:fldCharType="separate"/>
        </w:r>
        <w:r>
          <w:rPr>
            <w:rStyle w:val="Enlacedelndice"/>
            <w:vanish w:val="false"/>
          </w:rPr>
          <w:tab/>
          <w:t>17</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2">
        <w:r>
          <w:rPr>
            <w:rStyle w:val="Enlacedelndice"/>
          </w:rPr>
          <w:t>2. Irudia: Bizikidetza-unitateen bero mapa. Pasaia, 2025</w:t>
        </w:r>
        <w:r>
          <w:rPr>
            <w:webHidden/>
          </w:rPr>
          <w:fldChar w:fldCharType="begin"/>
        </w:r>
        <w:r>
          <w:rPr>
            <w:webHidden/>
          </w:rPr>
          <w:instrText xml:space="preserve">PAGEREF _Toc191031192 \h</w:instrText>
        </w:r>
        <w:r>
          <w:rPr>
            <w:webHidden/>
          </w:rPr>
          <w:fldChar w:fldCharType="separate"/>
        </w:r>
        <w:r>
          <w:rPr>
            <w:rStyle w:val="Enlacedelndice"/>
            <w:vanish w:val="false"/>
          </w:rPr>
          <w:tab/>
          <w:t>36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3">
        <w:r>
          <w:rPr>
            <w:rStyle w:val="Enlacedelndice"/>
          </w:rPr>
          <w:t>3. Irudia: Emantzipatutako 18-34 urte bitarteko pertsonen bero mapa. Pasaia, 2025</w:t>
        </w:r>
        <w:r>
          <w:rPr>
            <w:webHidden/>
          </w:rPr>
          <w:fldChar w:fldCharType="begin"/>
        </w:r>
        <w:r>
          <w:rPr>
            <w:webHidden/>
          </w:rPr>
          <w:instrText xml:space="preserve">PAGEREF _Toc191031193 \h</w:instrText>
        </w:r>
        <w:r>
          <w:rPr>
            <w:webHidden/>
          </w:rPr>
          <w:fldChar w:fldCharType="separate"/>
        </w:r>
        <w:r>
          <w:rPr>
            <w:rStyle w:val="Enlacedelndice"/>
            <w:vanish w:val="false"/>
          </w:rPr>
          <w:tab/>
          <w:t>41</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4">
        <w:r>
          <w:rPr>
            <w:rStyle w:val="Enlacedelndice"/>
          </w:rPr>
          <w:t>4. Irudia: Etxebizitza parkearen bero mapa. Pasaia, 2025</w:t>
        </w:r>
        <w:r>
          <w:rPr>
            <w:webHidden/>
          </w:rPr>
          <w:fldChar w:fldCharType="begin"/>
        </w:r>
        <w:r>
          <w:rPr>
            <w:webHidden/>
          </w:rPr>
          <w:instrText xml:space="preserve">PAGEREF _Toc191031194 \h</w:instrText>
        </w:r>
        <w:r>
          <w:rPr>
            <w:webHidden/>
          </w:rPr>
          <w:fldChar w:fldCharType="separate"/>
        </w:r>
        <w:r>
          <w:rPr>
            <w:rStyle w:val="Enlacedelndice"/>
            <w:vanish w:val="false"/>
          </w:rPr>
          <w:tab/>
          <w:t>56</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5">
        <w:r>
          <w:rPr>
            <w:rStyle w:val="Enlacedelndice"/>
          </w:rPr>
          <w:t>5. Irudia: Etxebizitzen eraikuntza urtearen mapa auzoaren arabera. Donibane, 2025</w:t>
        </w:r>
        <w:r>
          <w:rPr>
            <w:webHidden/>
          </w:rPr>
          <w:fldChar w:fldCharType="begin"/>
        </w:r>
        <w:r>
          <w:rPr>
            <w:webHidden/>
          </w:rPr>
          <w:instrText xml:space="preserve">PAGEREF _Toc191031195 \h</w:instrText>
        </w:r>
        <w:r>
          <w:rPr>
            <w:webHidden/>
          </w:rPr>
          <w:fldChar w:fldCharType="separate"/>
        </w:r>
        <w:r>
          <w:rPr>
            <w:rStyle w:val="Enlacedelndice"/>
            <w:vanish w:val="false"/>
          </w:rPr>
          <w:tab/>
          <w:t>58</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6">
        <w:r>
          <w:rPr>
            <w:rStyle w:val="Enlacedelndice"/>
          </w:rPr>
          <w:t>6. Irudia: Etxebizitzen eraikuntza urtearen mapa auzoaren arabera. San Pedro eta Trintxerpe, 2025</w:t>
        </w:r>
        <w:r>
          <w:rPr>
            <w:webHidden/>
          </w:rPr>
          <w:fldChar w:fldCharType="begin"/>
        </w:r>
        <w:r>
          <w:rPr>
            <w:webHidden/>
          </w:rPr>
          <w:instrText xml:space="preserve">PAGEREF _Toc191031196 \h</w:instrText>
        </w:r>
        <w:r>
          <w:rPr>
            <w:webHidden/>
          </w:rPr>
          <w:fldChar w:fldCharType="separate"/>
        </w:r>
        <w:r>
          <w:rPr>
            <w:rStyle w:val="Enlacedelndice"/>
            <w:vanish w:val="false"/>
          </w:rPr>
          <w:tab/>
          <w:t>59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7">
        <w:r>
          <w:rPr>
            <w:rStyle w:val="Enlacedelndice"/>
          </w:rPr>
          <w:t>7. Irudia: Etxebizitzen eraikuntza urtearen mapa auzoaren arabera. Antxo, 2025</w:t>
        </w:r>
        <w:r>
          <w:rPr>
            <w:webHidden/>
          </w:rPr>
          <w:fldChar w:fldCharType="begin"/>
        </w:r>
        <w:r>
          <w:rPr>
            <w:webHidden/>
          </w:rPr>
          <w:instrText xml:space="preserve">PAGEREF _Toc191031197 \h</w:instrText>
        </w:r>
        <w:r>
          <w:rPr>
            <w:webHidden/>
          </w:rPr>
          <w:fldChar w:fldCharType="separate"/>
        </w:r>
        <w:r>
          <w:rPr>
            <w:rStyle w:val="Enlacedelndice"/>
            <w:vanish w:val="false"/>
          </w:rPr>
          <w:tab/>
          <w:t>59</w:t>
        </w:r>
        <w:r>
          <w:rPr>
            <w:webHidden/>
          </w:rPr>
          <w:fldChar w:fldCharType="end"/>
        </w:r>
      </w:hyperlink>
    </w:p>
    <w:p>
      <w:pPr>
        <w:pStyle w:val="Tableoffigures"/>
        <w:tabs>
          <w:tab w:val="clear" w:pos="708"/>
          <w:tab w:val="right" w:pos="8494" w:leader="dot"/>
        </w:tabs>
        <w:rPr>
          <w:rFonts w:ascii="Calibri" w:hAnsi="Calibri" w:eastAsia="" w:cs="" w:asciiTheme="minorHAnsi" w:cstheme="minorBidi" w:eastAsiaTheme="minorEastAsia" w:hAnsiTheme="minorHAnsi"/>
          <w:sz w:val="24"/>
          <w:szCs w:val="24"/>
          <w:lang w:eastAsia="eu-ES"/>
        </w:rPr>
      </w:pPr>
      <w:hyperlink w:anchor="_Toc191031198">
        <w:r>
          <w:rPr>
            <w:rStyle w:val="Enlacedelndice"/>
          </w:rPr>
          <w:t>8. Irudia: Inor erroldatu gabeko etxebizitzen bero mapa. Pasaia, 2025</w:t>
        </w:r>
        <w:r>
          <w:rPr>
            <w:webHidden/>
          </w:rPr>
          <w:fldChar w:fldCharType="begin"/>
        </w:r>
        <w:r>
          <w:rPr>
            <w:webHidden/>
          </w:rPr>
          <w:instrText xml:space="preserve">PAGEREF _Toc191031198 \h</w:instrText>
        </w:r>
        <w:r>
          <w:rPr>
            <w:webHidden/>
          </w:rPr>
          <w:fldChar w:fldCharType="separate"/>
        </w:r>
        <w:r>
          <w:rPr>
            <w:rStyle w:val="Enlacedelndice"/>
            <w:vanish w:val="false"/>
          </w:rPr>
          <w:tab/>
          <w:t>64</w:t>
        </w:r>
        <w:r>
          <w:rPr>
            <w:webHidden/>
          </w:rPr>
          <w:fldChar w:fldCharType="end"/>
        </w:r>
      </w:hyperlink>
      <w:r>
        <w:rPr>
          <w:rStyle w:val="Enlacedelndice"/>
          <w:vanish w:val="false"/>
        </w:rPr>
        <w:fldChar w:fldCharType="end"/>
      </w:r>
    </w:p>
    <w:p>
      <w:pPr>
        <w:pStyle w:val="Normal"/>
        <w:rPr>
          <w:lang w:eastAsia="eu-ES"/>
        </w:rPr>
      </w:pPr>
      <w:r>
        <w:rPr>
          <w:lang w:eastAsia="eu-ES"/>
        </w:rPr>
      </w:r>
    </w:p>
    <w:p>
      <w:pPr>
        <w:pStyle w:val="Normal"/>
        <w:rPr>
          <w:lang w:eastAsia="eu-ES"/>
        </w:rPr>
      </w:pPr>
      <w:r>
        <w:rPr>
          <w:lang w:eastAsia="eu-ES"/>
        </w:rPr>
      </w:r>
      <w:r>
        <w:br w:type="page"/>
      </w:r>
    </w:p>
    <w:p>
      <w:pPr>
        <w:pStyle w:val="Ttulo1"/>
        <w:rPr/>
      </w:pPr>
      <w:bookmarkStart w:id="6" w:name="_Toc191031039"/>
      <w:r>
        <w:rPr/>
        <w:t>Aurrekariak</w:t>
      </w:r>
      <w:bookmarkEnd w:id="6"/>
    </w:p>
    <w:p>
      <w:pPr>
        <w:pStyle w:val="Normal"/>
        <w:jc w:val="both"/>
        <w:rPr/>
      </w:pPr>
      <w:r>
        <w:rPr/>
        <w:t xml:space="preserve">Etxebizitza Eskubideari buruzko maiatzaren 24ko 12/2023 Legeak bidea zabaldu du hainbat udalerri Bizitegi-merkatuko Tentsio Eremu izendatzeko. Lege horren 18. artikuluaren arabera, Legean zehaztutako baldintza edo kriterioak betetzen dituzten udalerriek Tentsio Handiko Bizitegi Eremu izendatzea formalki eskatu ahalko dute, eta, izendapena lortuz gero etxebizitza merkatuan eragiteko zenbait neurri hartu ahal izatea ekarriko die Udal horiei. Horiek horrela, aipatu kriterioak Euskadiko Autonomia Erkidegoko zein udalerrik betetzen dituen ebazteko txostena landu du berriki Etxebizitzaren Euskal Behatokiak. </w:t>
      </w:r>
    </w:p>
    <w:p>
      <w:pPr>
        <w:pStyle w:val="Normal"/>
        <w:jc w:val="both"/>
        <w:rPr/>
      </w:pPr>
      <w:r>
        <w:rPr/>
        <w:t xml:space="preserve">Pasaiako Udalaren kasuan, udalerri osoa Tentsio Handiko Bizitegi Eremu izendatua izan dadin aipatu 12/2023 legeak zehazten dituen kriterioak betetzen dira, Etxebizitzaren Euskal Behatokiak 2023ko abenduan argitaratutako txostenaren arabera. </w:t>
      </w:r>
    </w:p>
    <w:p>
      <w:pPr>
        <w:pStyle w:val="Normal"/>
        <w:jc w:val="both"/>
        <w:rPr/>
      </w:pPr>
      <w:r>
        <w:rPr/>
        <w:t xml:space="preserve">Tentsiopeko-eremu izendapena eskuratzeko prozedura formala abiatzeko eta 18. artikuluak aurreikusten duena betetzeko, Eusko Jaurlaritzak protokolo bat osatu eta helarazi die baldintzak betetzen dituzten udalei Etxebizitzaren Euskal Behatokiaren bitartez. Bertan azaltzen denez, bi dokumentu aurkeztu behar zaizkio Jaurlaritzako Etxebizitza sailari: etxebizitzari buruzko diagnostiko bat (18.2.a artikuluan aurreikusitako prestatze prozeduran eskuratutako informazio guztia modu egituratuan aurkeztuko duena) eta tentsio eremu gisa izendatutako eremuan hautemandako desorekak zuzentzeko inplementatuko diren neurri zehatzen berariazko ekintza plan bat, izendapena indarrean egongo den hiru urteetarako garapen egutegi batekin batera. </w:t>
      </w:r>
    </w:p>
    <w:p>
      <w:pPr>
        <w:pStyle w:val="Normal"/>
        <w:jc w:val="both"/>
        <w:rPr/>
      </w:pPr>
      <w:r>
        <w:rPr/>
        <w:t xml:space="preserve">Dokumentu horiez gain, 12/2023 Legearen 18.3. artikuluaren arabera, memoria bat aurkeztu behar da. Memoria horretan biztanleen beharrak asetzeko adina etxebizitza ez dagoela arrazoitu behar da, datu objektiboen bidez; eta etxebizitza berriak osatzeko dinamikak txertatu beha dira, etxebizitza eskuratzea eskuragarria izan dadin, baldin eta honako zirkunstantziaren bat betetzen bada: </w:t>
      </w:r>
    </w:p>
    <w:p>
      <w:pPr>
        <w:pStyle w:val="ListParagraph"/>
        <w:numPr>
          <w:ilvl w:val="0"/>
          <w:numId w:val="3"/>
        </w:numPr>
        <w:jc w:val="both"/>
        <w:rPr/>
      </w:pPr>
      <w:r>
        <w:rPr/>
        <w:t xml:space="preserve">Hipotekaren edo alokairuaren kostuak aurrekontu pertsonalean edo bizikidetza unitatearen aurrekontuan duen batez besteko kargak, gehi oinarrizko gastu eta hornigaiek, familien batez besteko diru sarreren edo batez besteko errentaren ehuneko hogeita hamar gainditzea. </w:t>
      </w:r>
    </w:p>
    <w:p>
      <w:pPr>
        <w:pStyle w:val="ListParagraph"/>
        <w:numPr>
          <w:ilvl w:val="0"/>
          <w:numId w:val="3"/>
        </w:numPr>
        <w:jc w:val="both"/>
        <w:rPr/>
      </w:pPr>
      <w:r>
        <w:rPr/>
        <w:t xml:space="preserve">Etxebizitza merkatuko tentsio eremu izendatu aurreko bost urteetan etxebizitzaren erosketa edo alokairu prezioak izandako hazkunde metatuaren ehunekoa gutxienez ehuneko hiru puntu handiagoa izatea dagokion autonomia erkidegoko kontsumo prezioen indizearen hazkunde metatuaren ehunekoa baino. </w:t>
      </w:r>
    </w:p>
    <w:p>
      <w:pPr>
        <w:pStyle w:val="Normal"/>
        <w:jc w:val="both"/>
        <w:rPr/>
      </w:pPr>
      <w:r>
        <w:rPr/>
        <w:t xml:space="preserve">Diagnostiko honetan jasotzen diren datu eta adierazleak Etxebizitzaren Euskal Behatokiak udalerriak Bizitegi merkatuko tentsio eremuen izendapenerako diagnostikoa eta ekintza plana prestatzeko eredua dokumentuan zehazten dituenak dira, nagusiki </w:t>
      </w:r>
      <w:sdt>
        <w:sdtPr>
          <w:citation/>
        </w:sdtPr>
        <w:sdtContent>
          <w:r>
            <w:rPr/>
            <w:fldChar w:fldCharType="begin"/>
          </w:r>
          <w:r>
            <w:rPr/>
            <w:instrText xml:space="preserve">CITATION Etx241 \l 1069 </w:instrText>
          </w:r>
          <w:r>
            <w:rPr/>
            <w:fldChar w:fldCharType="separate"/>
          </w:r>
          <w:r>
            <w:rPr/>
            <w:t>(Etxebizitzaren Euskal Behatokia, 2024)</w:t>
          </w:r>
          <w:r>
            <w:rPr/>
            <w:fldChar w:fldCharType="end"/>
          </w:r>
        </w:sdtContent>
      </w:sdt>
      <w:r>
        <w:rPr/>
        <w:t>. Hor</w:t>
      </w:r>
      <w:r>
        <w:rPr/>
        <w:t xml:space="preserve">rez gain, Gislanek udalerriek bizi duten tentsio eremuen egoera aztertzeko eta testuingurua ulertzeko beharrezkoak diren ustiapen gehigarriak egin ditu. </w:t>
      </w:r>
    </w:p>
    <w:p>
      <w:pPr>
        <w:pStyle w:val="Normal"/>
        <w:jc w:val="both"/>
        <w:rPr/>
      </w:pPr>
      <w:r>
        <w:rPr/>
        <w:t xml:space="preserve">Pasaiako datuak bere ingurumarian ulergarri egiteko Oarsoaldea eta Donostialdea eremuak hartu dira aintzat. Oarsoaldea Donostialdearen azpi-eremua bada ere, lagungarri gertatzen da Pasaiako indizeen konparazioa egiterakoan. Edonola ere, kontuan izan behar da Donostialdea eta Oarsoaldea alderatzean Donostialdeko adierazleek Oarsoaldeakoak bere baitan hartzen dituztela Demografia ataleko ustiapen batzuetan izan ezik: biztanleriaren bilakaera jatorriaren arabera eta biztanleriaren mugimendua atala aztertzen denean, konkretuki. </w:t>
      </w:r>
    </w:p>
    <w:p>
      <w:pPr>
        <w:pStyle w:val="Normal"/>
        <w:jc w:val="both"/>
        <w:rPr/>
      </w:pPr>
      <w:r>
        <w:rPr/>
        <w:t xml:space="preserve">Bestalde, udalerri barruko dinamikak hobeto ulertzeko barrutien banaketa baliatu da. Izan ere, Etxebizitzaren Euskal Behatokiak Euskadiko tentsio eremuei buruzko 2024ko otsaileko txostenean udalerriak partzialki tentsionatuta daudela aztertzeko barrutien informazioa erabiltzen du </w:t>
      </w:r>
      <w:sdt>
        <w:sdtPr>
          <w:citation/>
        </w:sdtPr>
        <w:sdtContent>
          <w:r>
            <w:rPr/>
            <w:fldChar w:fldCharType="begin"/>
          </w:r>
          <w:r>
            <w:rPr/>
            <w:instrText xml:space="preserve"> CITATION Etx24 \l 1069 </w:instrText>
          </w:r>
          <w:r>
            <w:rPr/>
            <w:fldChar w:fldCharType="separate"/>
          </w:r>
          <w:r>
            <w:rPr/>
            <w:t>(Etxebizitzaren Euskal Behatokia, 2024)</w:t>
          </w:r>
          <w:r>
            <w:rPr/>
            <w:fldChar w:fldCharType="end"/>
          </w:r>
        </w:sdtContent>
      </w:sdt>
      <w:r>
        <w:rPr/>
        <w:t xml:space="preserve">. Banaketa hau, gainera, bat dator Pasaiako entitate nagusiekin: </w:t>
      </w:r>
      <w:r>
        <w:rPr/>
        <w:t>Donibane (1. barrutia), San Pedro (2. barrutia), Antxo (3. barrutia) eta Trintxerpe (4. barrutia). Txostenean entitateen izenak baliatu dira irakurketa eta interpretazioa ulergarriagoa egin dadin.</w:t>
      </w:r>
    </w:p>
    <w:p>
      <w:pPr>
        <w:pStyle w:val="Normal"/>
        <w:jc w:val="both"/>
        <w:rPr/>
      </w:pPr>
      <w:r>
        <w:rPr/>
        <w:t>Diagnostikoaren bukaeran 18.3 artikuluan zehaztutako justifikazio-memoria atxiki da. Diagnostikoaren bukaeran 18.3 artikuluan zehaztutako justifikazio-memoria atxiki da.</w:t>
      </w:r>
    </w:p>
    <w:p>
      <w:pPr>
        <w:pStyle w:val="Normal"/>
        <w:jc w:val="both"/>
        <w:rPr/>
      </w:pPr>
      <w:r>
        <w:rPr/>
      </w:r>
    </w:p>
    <w:p>
      <w:pPr>
        <w:pStyle w:val="Normal"/>
        <w:rPr/>
      </w:pPr>
      <w:r>
        <w:rPr/>
      </w:r>
      <w:r>
        <w:br w:type="page"/>
      </w:r>
    </w:p>
    <w:p>
      <w:pPr>
        <w:pStyle w:val="Ttulo1"/>
        <w:rPr/>
      </w:pPr>
      <w:bookmarkStart w:id="7" w:name="_Toc191031040"/>
      <w:r>
        <w:rPr/>
        <w:t>Demografia</w:t>
      </w:r>
      <w:bookmarkEnd w:id="7"/>
    </w:p>
    <w:p>
      <w:pPr>
        <w:pStyle w:val="Normal"/>
        <w:jc w:val="both"/>
        <w:rPr/>
      </w:pPr>
      <w:r>
        <w:rPr/>
        <w:t xml:space="preserve">Azterketa demografikoa udalerri ororen biztanlerian gertatzen diren dinamikak ulertzeko funtsezko tresna da. Atal honetan, datu historikoak eta egungo joerak aztertuko dira tokiko demografiak aurrera begira dituen erronkak eta aukerak argitzeko. Biztanle kopuruak denboran zehar izan duen bilakaera aztertuko da, kopurua ez ezik, funtsezko faktoreak ere aztertuz, hala nola sexuaren, adinaren eta jaiolekuaren araberako banaketa, bai eta honek guzti honek udalerrian duen banaketa espaziala ere. Gainera, arretaz aztertuko dira migrazio-fluxuak, berebiziko garrantzia baitute tokiko komunitateen eraketan eta kohesioan. </w:t>
      </w:r>
    </w:p>
    <w:p>
      <w:pPr>
        <w:pStyle w:val="Normal"/>
        <w:jc w:val="both"/>
        <w:rPr/>
      </w:pPr>
      <w:r>
        <w:rPr/>
        <w:t>Azterketa honen helburu nagusia aldaketa horiek komunitatearen bizi baldintzetan eragiten duten aldagaiak zein diren eta nola eragiten duten ulertzea da; besteak beste, etxebizitza parkeak jasaten duen presioa eta etxebizitzaren eskuragarritasunak duen bilakaera.</w:t>
      </w:r>
    </w:p>
    <w:p>
      <w:pPr>
        <w:pStyle w:val="Ttulo2"/>
        <w:rPr/>
      </w:pPr>
      <w:bookmarkStart w:id="8" w:name="_Toc191031041"/>
      <w:r>
        <w:rPr/>
        <w:t>Aldagai nagusiak</w:t>
      </w:r>
      <w:bookmarkEnd w:id="8"/>
    </w:p>
    <w:p>
      <w:pPr>
        <w:pStyle w:val="Normal"/>
        <w:jc w:val="both"/>
        <w:rPr/>
      </w:pPr>
      <w:r>
        <w:rPr/>
        <w:t xml:space="preserve">Azken bi hamarkadetan Pasaiako biztanleria hazkundea negatiboa izan da, inguruko udalerriek izan dutenaren kontrako norabidean. Izan ere, Pasaia izan da erreferentziazko eremuetan bilakaera negatiboa izan duen bakarra.  Zehazki, bere beherakada demografikoa %0,7koa izan da: 2000. urtean 16.776 biztanle izatetik 2024. urtean 16.659 biztanle izatera igaro da Pasaia; 117 herritar gutxiago, alegia (ikus </w:t>
      </w:r>
      <w:r>
        <w:rPr/>
        <w:fldChar w:fldCharType="begin"/>
      </w:r>
      <w:r>
        <w:rPr/>
        <w:instrText xml:space="preserve"> REF _Ref176947325 \h </w:instrText>
      </w:r>
      <w:r>
        <w:rPr/>
        <w:fldChar w:fldCharType="separate"/>
      </w:r>
      <w:r>
        <w:rPr/>
        <w:t>1. Grafikoa</w:t>
      </w:r>
      <w:r>
        <w:rPr/>
        <w:fldChar w:fldCharType="end"/>
      </w:r>
      <w:r>
        <w:rPr/>
        <w:t xml:space="preserve"> eta </w:t>
      </w:r>
      <w:r>
        <w:rPr/>
        <w:fldChar w:fldCharType="begin"/>
      </w:r>
      <w:r>
        <w:rPr/>
        <w:instrText xml:space="preserve"> REF _Ref176947350 \h </w:instrText>
      </w:r>
      <w:r>
        <w:rPr/>
        <w:fldChar w:fldCharType="separate"/>
      </w:r>
      <w:r>
        <w:rPr/>
        <w:t>1. Taula</w:t>
      </w:r>
      <w:r>
        <w:rPr/>
        <w:fldChar w:fldCharType="end"/>
      </w:r>
      <w:r>
        <w:rPr/>
        <w:t xml:space="preserve">). </w:t>
      </w:r>
    </w:p>
    <w:p>
      <w:pPr>
        <w:pStyle w:val="Normal"/>
        <w:jc w:val="both"/>
        <w:rPr/>
      </w:pPr>
      <w:r>
        <w:rPr/>
        <w:t xml:space="preserve">Dena den, deshazkunde horrek ez du intentsitate bera izan garai guztietan. 2000-2024 aldian. Erreferentziazko eremuak hazten ari ziren bitartean Pasaiak hazkunde negatiboa izan zuen 2000-2013 bitartean: 914 biztanle galdu zituen, hain zuzen. Urte horretatik aurrera, ordea, joera aldatu eta biztanleria hazkunde positiboaren fasea hasi zen ia milurteko hasierako biztanle kopurua berreskuratuz. Laburbilduz, azken urteetan Pasaiako biztanle kopurua handitzen ari da (ikus </w:t>
      </w:r>
      <w:r>
        <w:rPr/>
        <w:fldChar w:fldCharType="begin"/>
      </w:r>
      <w:r>
        <w:rPr/>
        <w:instrText xml:space="preserve"> REF _Ref176947325 \h </w:instrText>
      </w:r>
      <w:r>
        <w:rPr/>
        <w:fldChar w:fldCharType="separate"/>
      </w:r>
      <w:r>
        <w:rPr/>
        <w:t>1. Grafikoa</w:t>
      </w:r>
      <w:r>
        <w:rPr/>
        <w:fldChar w:fldCharType="end"/>
      </w:r>
      <w:r>
        <w:rPr/>
        <w:t xml:space="preserve"> eta </w:t>
      </w:r>
      <w:r>
        <w:rPr/>
        <w:fldChar w:fldCharType="begin"/>
      </w:r>
      <w:r>
        <w:rPr/>
        <w:instrText xml:space="preserve"> REF _Ref176947350 \h </w:instrText>
      </w:r>
      <w:r>
        <w:rPr/>
        <w:fldChar w:fldCharType="separate"/>
      </w:r>
      <w:r>
        <w:rPr/>
        <w:t>1. Taula</w:t>
      </w:r>
      <w:r>
        <w:rPr/>
        <w:fldChar w:fldCharType="end"/>
      </w:r>
      <w:r>
        <w:rPr/>
        <w:t>).</w:t>
      </w:r>
    </w:p>
    <w:p>
      <w:pPr>
        <w:pStyle w:val="Normal"/>
        <w:jc w:val="both"/>
        <w:rPr/>
      </w:pPr>
      <w:r>
        <w:rPr/>
        <w:t xml:space="preserve">Udalerriaren hazkundea Oarsoaldearen (%1,1), Donostialdearen (%6,2), Gipuzkoaren (%7,6) eta EAEren (%6,3) hazkundearen kontrako norabidean joan da azken urteetan izan ezik. Ikusten denez, Donostialdearen inguruan Pasaiaren bilakaera berezia izan da, eskualdeak izan duen hazteko joeraren kontrakoa izan baita. Azpimarragarria da Oarsoaldeak Pasaiaren hazkunde negatiboren antzeko fasea izan zuela XXI. mendearen hasieran, baina joera apalagoa izan zen kopuruan zein denboran. Horiek horrela, Oarsoaldearen hazkundea oso apala izan da Donostialdeko joera orokorrarekin nahiz Gipuzkoa eta EAEren hazkunde joerarekin kontraste argia eginez (ikus </w:t>
      </w:r>
      <w:r>
        <w:rPr/>
        <w:fldChar w:fldCharType="begin"/>
      </w:r>
      <w:r>
        <w:rPr/>
        <w:instrText xml:space="preserve"> REF _Ref176947325 \h </w:instrText>
      </w:r>
      <w:r>
        <w:rPr/>
        <w:fldChar w:fldCharType="separate"/>
      </w:r>
      <w:r>
        <w:rPr/>
        <w:t>1. Grafikoa</w:t>
      </w:r>
      <w:r>
        <w:rPr/>
        <w:fldChar w:fldCharType="end"/>
      </w:r>
      <w:r>
        <w:rPr/>
        <w:t xml:space="preserve"> eta </w:t>
      </w:r>
      <w:r>
        <w:rPr/>
        <w:fldChar w:fldCharType="begin"/>
      </w:r>
      <w:r>
        <w:rPr/>
        <w:instrText xml:space="preserve"> REF _Ref176947350 \h </w:instrText>
      </w:r>
      <w:r>
        <w:rPr/>
        <w:fldChar w:fldCharType="separate"/>
      </w:r>
      <w:r>
        <w:rPr/>
        <w:t>1. Taula</w:t>
      </w:r>
      <w:r>
        <w:rPr/>
        <w:fldChar w:fldCharType="end"/>
      </w:r>
      <w:r>
        <w:rPr/>
        <w:t xml:space="preserve">).    </w:t>
      </w:r>
    </w:p>
    <w:p>
      <w:pPr>
        <w:pStyle w:val="Normal"/>
        <w:rPr/>
      </w:pPr>
      <w:r>
        <w:rPr/>
      </w:r>
      <w:r>
        <w:br w:type="page"/>
      </w:r>
    </w:p>
    <w:p>
      <w:pPr>
        <w:pStyle w:val="Caption"/>
        <w:rPr/>
      </w:pPr>
      <w:bookmarkStart w:id="9" w:name="_Toc191031075"/>
      <w:bookmarkStart w:id="10" w:name="_Toc162347799"/>
      <w:bookmarkStart w:id="11" w:name="_Ref176947325"/>
      <w:r>
        <w:rPr/>
        <w:fldChar w:fldCharType="begin"/>
      </w:r>
      <w:r>
        <w:rPr/>
        <w:instrText xml:space="preserve"> SEQ Grafikoa \* ARABIC </w:instrText>
      </w:r>
      <w:r>
        <w:rPr/>
        <w:fldChar w:fldCharType="separate"/>
      </w:r>
      <w:r>
        <w:rPr/>
        <w:t>1</w:t>
      </w:r>
      <w:r>
        <w:rPr/>
        <w:fldChar w:fldCharType="end"/>
      </w:r>
      <w:r>
        <w:rPr/>
        <w:t>. Grafikoa</w:t>
      </w:r>
      <w:bookmarkEnd w:id="11"/>
      <w:r>
        <w:rPr/>
        <w:t>: Biztanleriaren bilakaera (%).</w:t>
        <w:br/>
        <w:t>Pasaia eta bere testuingurua, 2000-202</w:t>
      </w:r>
      <w:bookmarkEnd w:id="10"/>
      <w:r>
        <w:rPr/>
        <w:t>5</w:t>
      </w:r>
      <w:bookmarkEnd w:id="9"/>
    </w:p>
    <w:p>
      <w:pPr>
        <w:pStyle w:val="Normal"/>
        <w:rPr/>
      </w:pPr>
      <w:r>
        <w:rPr/>
        <w:drawing>
          <wp:inline distT="0" distB="0" distL="0" distR="0">
            <wp:extent cx="5391150" cy="3200400"/>
            <wp:effectExtent l="0" t="0" r="0" b="0"/>
            <wp:docPr id="2" name="Imagen2" descr="Hau duen irudia Lurrazala, diagrama, lerroa, testu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descr="Hau duen irudia Lurrazala, diagrama, lerroa, testua&#10;&#10;Azalpena automatikoki sortu da"/>
                    <pic:cNvPicPr>
                      <a:picLocks noChangeAspect="1" noChangeArrowheads="1"/>
                    </pic:cNvPicPr>
                  </pic:nvPicPr>
                  <pic:blipFill>
                    <a:blip r:embed="rId3"/>
                    <a:stretch>
                      <a:fillRect/>
                    </a:stretch>
                  </pic:blipFill>
                  <pic:spPr bwMode="auto">
                    <a:xfrm>
                      <a:off x="0" y="0"/>
                      <a:ext cx="5391150" cy="3200400"/>
                    </a:xfrm>
                    <a:prstGeom prst="rect">
                      <a:avLst/>
                    </a:prstGeom>
                  </pic:spPr>
                </pic:pic>
              </a:graphicData>
            </a:graphic>
          </wp:inline>
        </w:drawing>
      </w:r>
    </w:p>
    <w:p>
      <w:pPr>
        <w:pStyle w:val="Iturria"/>
        <w:rPr/>
      </w:pPr>
      <w:r>
        <w:rPr/>
        <w:t>Iturria: INE eta errolda.</w:t>
      </w:r>
    </w:p>
    <w:p>
      <w:pPr>
        <w:pStyle w:val="Normal"/>
        <w:rPr/>
      </w:pPr>
      <w:r>
        <w:rPr/>
      </w:r>
    </w:p>
    <w:p>
      <w:pPr>
        <w:pStyle w:val="Caption"/>
        <w:rPr/>
      </w:pPr>
      <w:bookmarkStart w:id="12" w:name="_Toc191031144"/>
      <w:bookmarkStart w:id="13" w:name="_Toc162347510"/>
      <w:bookmarkStart w:id="14" w:name="_Ref176946900"/>
      <w:bookmarkStart w:id="15" w:name="_Ref176947350"/>
      <w:bookmarkStart w:id="16" w:name="_Ref176946893"/>
      <w:bookmarkEnd w:id="16"/>
      <w:r>
        <w:rPr/>
        <w:fldChar w:fldCharType="begin"/>
      </w:r>
      <w:r>
        <w:rPr/>
        <w:instrText xml:space="preserve"> SEQ Taula \* ARABIC </w:instrText>
      </w:r>
      <w:r>
        <w:rPr/>
        <w:fldChar w:fldCharType="separate"/>
      </w:r>
      <w:r>
        <w:rPr/>
        <w:t>1</w:t>
      </w:r>
      <w:r>
        <w:rPr/>
        <w:fldChar w:fldCharType="end"/>
      </w:r>
      <w:r>
        <w:rPr/>
        <w:t xml:space="preserve">. </w:t>
      </w:r>
      <w:bookmarkStart w:id="17" w:name="_Ref176946889"/>
      <w:r>
        <w:rPr/>
        <w:t>Taula</w:t>
      </w:r>
      <w:bookmarkEnd w:id="15"/>
      <w:r>
        <w:rPr/>
        <w:t>: Biztanleriaren bilakaera (kop.).</w:t>
        <w:br/>
        <w:t>Pasaia eta bere testuingurua, 2000-202</w:t>
      </w:r>
      <w:bookmarkEnd w:id="13"/>
      <w:bookmarkEnd w:id="14"/>
      <w:bookmarkEnd w:id="17"/>
      <w:r>
        <w:rPr/>
        <w:t>5</w:t>
      </w:r>
      <w:r>
        <w:rPr>
          <w:rStyle w:val="Ancladenotaalpie"/>
        </w:rPr>
        <w:footnoteReference w:id="2"/>
      </w:r>
      <w:bookmarkEnd w:id="12"/>
    </w:p>
    <w:tbl>
      <w:tblPr>
        <w:tblW w:w="780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177"/>
        <w:gridCol w:w="947"/>
        <w:gridCol w:w="947"/>
        <w:gridCol w:w="947"/>
        <w:gridCol w:w="948"/>
        <w:gridCol w:w="947"/>
        <w:gridCol w:w="947"/>
        <w:gridCol w:w="946"/>
      </w:tblGrid>
      <w:tr>
        <w:trPr>
          <w:trHeight w:val="300" w:hRule="atLeast"/>
        </w:trPr>
        <w:tc>
          <w:tcPr>
            <w:tcW w:w="117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2000</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2005</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4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46"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1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16.776</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16.116</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15.958</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15.862</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16.229</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16.354</w:t>
            </w:r>
          </w:p>
        </w:tc>
        <w:tc>
          <w:tcPr>
            <w:tcW w:w="94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16.659</w:t>
            </w:r>
          </w:p>
        </w:tc>
      </w:tr>
      <w:tr>
        <w:trPr>
          <w:trHeight w:val="300" w:hRule="atLeast"/>
        </w:trPr>
        <w:tc>
          <w:tcPr>
            <w:tcW w:w="11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70.960</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69.630</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70.654</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71.076</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71.759</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71.439</w:t>
            </w:r>
          </w:p>
        </w:tc>
        <w:tc>
          <w:tcPr>
            <w:tcW w:w="94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71.751</w:t>
            </w:r>
          </w:p>
        </w:tc>
      </w:tr>
      <w:tr>
        <w:trPr>
          <w:trHeight w:val="300" w:hRule="atLeast"/>
        </w:trPr>
        <w:tc>
          <w:tcPr>
            <w:tcW w:w="11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315.864</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318.685</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324.493</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327.213</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329.435</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332.941</w:t>
            </w:r>
          </w:p>
        </w:tc>
        <w:tc>
          <w:tcPr>
            <w:tcW w:w="94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335.526</w:t>
            </w:r>
          </w:p>
        </w:tc>
      </w:tr>
      <w:tr>
        <w:trPr>
          <w:trHeight w:val="300" w:hRule="atLeast"/>
        </w:trPr>
        <w:tc>
          <w:tcPr>
            <w:tcW w:w="11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679.370</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688.708</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705.698</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713.818</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719.282</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726.033</w:t>
            </w:r>
          </w:p>
        </w:tc>
        <w:tc>
          <w:tcPr>
            <w:tcW w:w="94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731.182</w:t>
            </w:r>
          </w:p>
        </w:tc>
      </w:tr>
      <w:tr>
        <w:trPr>
          <w:trHeight w:val="300" w:hRule="atLeast"/>
        </w:trPr>
        <w:tc>
          <w:tcPr>
            <w:tcW w:w="1177"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2.098.596</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2.124.846</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2.172.175</w:t>
            </w:r>
          </w:p>
        </w:tc>
        <w:tc>
          <w:tcPr>
            <w:tcW w:w="94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2.191.682</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2.194.158</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2.213.993</w:t>
            </w:r>
          </w:p>
        </w:tc>
        <w:tc>
          <w:tcPr>
            <w:tcW w:w="946"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2.230.452</w:t>
            </w:r>
          </w:p>
        </w:tc>
      </w:tr>
    </w:tbl>
    <w:p>
      <w:pPr>
        <w:pStyle w:val="Iturria"/>
        <w:rPr/>
      </w:pPr>
      <w:r>
        <w:rPr/>
        <w:t>Iturria: INE eta errolda.</w:t>
      </w:r>
    </w:p>
    <w:p>
      <w:pPr>
        <w:pStyle w:val="Iturria"/>
        <w:jc w:val="both"/>
        <w:rPr>
          <w:color w:val="auto"/>
          <w:sz w:val="22"/>
          <w:szCs w:val="22"/>
        </w:rPr>
      </w:pPr>
      <w:r>
        <w:rPr>
          <w:color w:val="auto"/>
          <w:sz w:val="22"/>
          <w:szCs w:val="22"/>
        </w:rPr>
        <w:t xml:space="preserve">Bilakaera honi barrutiz barruti erreparatzen bazaio, ordea, agerikoak dira aldeak. Fenomeno orokortzat har daiteke mende hasieratik 2013 bitartean udalerriko barruti guztiek hazkunde negatiboa (San Pedro eta Donibane) edo hazkunde positibo apala izan zutela (Antxo eta Trintxerpe). Hau da, hazkunde ekonomikoan bezala (2000-2010) krisialdian (2010-2013) Pasaiako barrutien bilakaera ez zen positiboa izan. Aldiz, 2013tik aurrera, Antxok hazkundea handia bizi du, San Pedro biztanleria bereganatzen ari da, Trintxerpek nekez eusten dio biztanleriari eta Donibanek galtzen jarraitzen du. Badirudi, beraz, ziklo ekonomikoari lotutako fenomenoez gain bestelakoak ere ari direla bilakaera honetan eragiten, hala nola etxebizitza parkearen hazkundea eta inguruko zenbait eremuren gentrifikazioa (ikus </w:t>
      </w:r>
      <w:r>
        <w:rPr>
          <w:color w:val="auto"/>
          <w:sz w:val="22"/>
          <w:szCs w:val="22"/>
        </w:rPr>
        <w:fldChar w:fldCharType="begin"/>
      </w:r>
      <w:r>
        <w:rPr>
          <w:sz w:val="22"/>
          <w:szCs w:val="22"/>
          <w:color w:val="auto"/>
        </w:rPr>
        <w:instrText xml:space="preserve"> REF _Ref190419360 \h </w:instrText>
      </w:r>
      <w:r>
        <w:rPr>
          <w:sz w:val="22"/>
          <w:szCs w:val="22"/>
          <w:color w:val="auto"/>
        </w:rPr>
        <w:fldChar w:fldCharType="separate"/>
      </w:r>
      <w:r>
        <w:rPr>
          <w:sz w:val="22"/>
          <w:szCs w:val="22"/>
          <w:color w:val="auto"/>
        </w:rPr>
        <w:t>2.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_Ref190419362 \h </w:instrText>
      </w:r>
      <w:r>
        <w:rPr>
          <w:sz w:val="22"/>
          <w:szCs w:val="22"/>
          <w:color w:val="auto"/>
        </w:rPr>
        <w:fldChar w:fldCharType="separate"/>
      </w:r>
      <w:r>
        <w:rPr>
          <w:sz w:val="22"/>
          <w:szCs w:val="22"/>
          <w:color w:val="auto"/>
        </w:rPr>
        <w:t>2. Taula</w:t>
      </w:r>
      <w:r>
        <w:rPr>
          <w:sz w:val="22"/>
          <w:szCs w:val="22"/>
          <w:color w:val="auto"/>
        </w:rPr>
        <w:fldChar w:fldCharType="end"/>
      </w:r>
      <w:r>
        <w:rPr>
          <w:color w:val="auto"/>
          <w:sz w:val="22"/>
          <w:szCs w:val="22"/>
        </w:rPr>
        <w:t xml:space="preserve">). </w:t>
      </w:r>
    </w:p>
    <w:p>
      <w:pPr>
        <w:pStyle w:val="Iturria"/>
        <w:jc w:val="both"/>
        <w:rPr>
          <w:color w:val="auto"/>
          <w:sz w:val="22"/>
          <w:szCs w:val="22"/>
        </w:rPr>
      </w:pPr>
      <w:r>
        <w:rPr>
          <w:color w:val="auto"/>
          <w:sz w:val="22"/>
          <w:szCs w:val="22"/>
        </w:rPr>
      </w:r>
    </w:p>
    <w:p>
      <w:pPr>
        <w:pStyle w:val="Caption"/>
        <w:rPr/>
      </w:pPr>
      <w:bookmarkStart w:id="18" w:name="_Toc191031076"/>
      <w:bookmarkStart w:id="19" w:name="_Ref190419360"/>
      <w:r>
        <w:rPr/>
        <w:fldChar w:fldCharType="begin"/>
      </w:r>
      <w:r>
        <w:rPr/>
        <w:instrText xml:space="preserve"> SEQ Grafikoa \* ARABIC </w:instrText>
      </w:r>
      <w:r>
        <w:rPr/>
        <w:fldChar w:fldCharType="separate"/>
      </w:r>
      <w:r>
        <w:rPr/>
        <w:t>2</w:t>
      </w:r>
      <w:r>
        <w:rPr/>
        <w:fldChar w:fldCharType="end"/>
      </w:r>
      <w:r>
        <w:rPr/>
        <w:t>. Grafikoa</w:t>
      </w:r>
      <w:bookmarkEnd w:id="19"/>
      <w:r>
        <w:rPr/>
        <w:t>: Biztanleriaren bilakaera (%).</w:t>
        <w:br/>
        <w:t>Pasaia eta bere barrutiak, 2004-2025</w:t>
      </w:r>
      <w:bookmarkEnd w:id="18"/>
    </w:p>
    <w:p>
      <w:pPr>
        <w:pStyle w:val="Normal"/>
        <w:rPr/>
      </w:pPr>
      <w:r>
        <w:rPr/>
        <w:drawing>
          <wp:inline distT="0" distB="0" distL="0" distR="0">
            <wp:extent cx="5391150" cy="3200400"/>
            <wp:effectExtent l="0" t="0" r="0" b="0"/>
            <wp:docPr id="3" name="Irudia 3" descr="Hau duen irudia Lurrazala, diagrama, testu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rudia 3" descr="Hau duen irudia Lurrazala, diagrama, testua, lerroa&#10;&#10;Azalpena automatikoki sortu da"/>
                    <pic:cNvPicPr>
                      <a:picLocks noChangeAspect="1" noChangeArrowheads="1"/>
                    </pic:cNvPicPr>
                  </pic:nvPicPr>
                  <pic:blipFill>
                    <a:blip r:embed="rId4"/>
                    <a:stretch>
                      <a:fillRect/>
                    </a:stretch>
                  </pic:blipFill>
                  <pic:spPr bwMode="auto">
                    <a:xfrm>
                      <a:off x="0" y="0"/>
                      <a:ext cx="5391150" cy="3200400"/>
                    </a:xfrm>
                    <a:prstGeom prst="rect">
                      <a:avLst/>
                    </a:prstGeom>
                  </pic:spPr>
                </pic:pic>
              </a:graphicData>
            </a:graphic>
          </wp:inline>
        </w:drawing>
      </w:r>
    </w:p>
    <w:p>
      <w:pPr>
        <w:pStyle w:val="Iturria"/>
        <w:rPr/>
      </w:pPr>
      <w:r>
        <w:rPr/>
        <w:t>Iturria: INE eta errolda.</w:t>
      </w:r>
    </w:p>
    <w:p>
      <w:pPr>
        <w:pStyle w:val="Iturria"/>
        <w:rPr/>
      </w:pPr>
      <w:r>
        <w:rPr/>
      </w:r>
    </w:p>
    <w:p>
      <w:pPr>
        <w:pStyle w:val="Caption"/>
        <w:rPr/>
      </w:pPr>
      <w:bookmarkStart w:id="20" w:name="_Toc191031145"/>
      <w:bookmarkStart w:id="21" w:name="_Ref190419362"/>
      <w:r>
        <w:rPr/>
        <w:fldChar w:fldCharType="begin"/>
      </w:r>
      <w:r>
        <w:rPr/>
        <w:instrText xml:space="preserve"> SEQ Taula \* ARABIC </w:instrText>
      </w:r>
      <w:r>
        <w:rPr/>
        <w:fldChar w:fldCharType="separate"/>
      </w:r>
      <w:r>
        <w:rPr/>
        <w:t>2</w:t>
      </w:r>
      <w:r>
        <w:rPr/>
        <w:fldChar w:fldCharType="end"/>
      </w:r>
      <w:r>
        <w:rPr/>
        <w:t>. Taula</w:t>
      </w:r>
      <w:bookmarkEnd w:id="21"/>
      <w:r>
        <w:rPr/>
        <w:t>: Biztanleriaren bilakaera (kop.).</w:t>
        <w:br/>
        <w:t>Pasaia eta bere barrutiak, 2004-2025</w:t>
      </w:r>
      <w:bookmarkEnd w:id="20"/>
    </w:p>
    <w:tbl>
      <w:tblPr>
        <w:tblW w:w="672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036"/>
        <w:gridCol w:w="947"/>
        <w:gridCol w:w="947"/>
        <w:gridCol w:w="948"/>
        <w:gridCol w:w="947"/>
        <w:gridCol w:w="947"/>
        <w:gridCol w:w="947"/>
      </w:tblGrid>
      <w:tr>
        <w:trPr>
          <w:trHeight w:val="300" w:hRule="atLeast"/>
        </w:trPr>
        <w:tc>
          <w:tcPr>
            <w:tcW w:w="103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2004</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4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4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47"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03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4.589</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4.650</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4.635</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5.150</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5.251</w:t>
            </w:r>
          </w:p>
        </w:tc>
        <w:tc>
          <w:tcPr>
            <w:tcW w:w="94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5.369</w:t>
            </w:r>
          </w:p>
        </w:tc>
      </w:tr>
      <w:tr>
        <w:trPr>
          <w:trHeight w:val="300" w:hRule="atLeast"/>
        </w:trPr>
        <w:tc>
          <w:tcPr>
            <w:tcW w:w="103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2.433</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2.391</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2.312</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2.264</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2.212</w:t>
            </w:r>
          </w:p>
        </w:tc>
        <w:tc>
          <w:tcPr>
            <w:tcW w:w="94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2.185</w:t>
            </w:r>
          </w:p>
        </w:tc>
      </w:tr>
      <w:tr>
        <w:trPr>
          <w:trHeight w:val="300" w:hRule="atLeast"/>
        </w:trPr>
        <w:tc>
          <w:tcPr>
            <w:tcW w:w="103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3.079</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2.760</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2.846</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2.971</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3.006</w:t>
            </w:r>
          </w:p>
        </w:tc>
        <w:tc>
          <w:tcPr>
            <w:tcW w:w="94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3.063</w:t>
            </w:r>
          </w:p>
        </w:tc>
      </w:tr>
      <w:tr>
        <w:trPr>
          <w:trHeight w:val="300" w:hRule="atLeast"/>
        </w:trPr>
        <w:tc>
          <w:tcPr>
            <w:tcW w:w="103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5.977</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6.157</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6.069</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5.844</w:t>
            </w:r>
          </w:p>
        </w:tc>
        <w:tc>
          <w:tcPr>
            <w:tcW w:w="94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5.885</w:t>
            </w:r>
          </w:p>
        </w:tc>
        <w:tc>
          <w:tcPr>
            <w:tcW w:w="94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6.042</w:t>
            </w:r>
          </w:p>
        </w:tc>
      </w:tr>
      <w:tr>
        <w:trPr>
          <w:trHeight w:val="300" w:hRule="atLeast"/>
        </w:trPr>
        <w:tc>
          <w:tcPr>
            <w:tcW w:w="103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16.078</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15.958</w:t>
            </w:r>
          </w:p>
        </w:tc>
        <w:tc>
          <w:tcPr>
            <w:tcW w:w="94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15.862</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16.229</w:t>
            </w:r>
          </w:p>
        </w:tc>
        <w:tc>
          <w:tcPr>
            <w:tcW w:w="94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16.354</w:t>
            </w:r>
          </w:p>
        </w:tc>
        <w:tc>
          <w:tcPr>
            <w:tcW w:w="947"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rPr/>
      </w:pPr>
      <w:r>
        <w:rPr/>
        <w:t>Iturria: INE eta errolda.</w:t>
      </w:r>
      <w:bookmarkStart w:id="22" w:name="_Ref182814314"/>
      <w:r>
        <w:br w:type="page"/>
      </w:r>
    </w:p>
    <w:p>
      <w:pPr>
        <w:pStyle w:val="Normal"/>
        <w:jc w:val="both"/>
        <w:rPr/>
      </w:pPr>
      <w:r>
        <w:rPr/>
        <w:t xml:space="preserve">Pasaiako biztanle deshazkundea eragin duten arrazoi nagusien artean 2000-2012 epealdiko migrazio saldo negatiboa (2.2 atalean aztertzen da biztanleria mugimendua) eta azken urteetako jaiotza-tasa apala dago. Mende hasierako jaiotza-tasak gainbehera etengabea bizi izan dute 2013tik aurrera, atzeraldi ekonomikoa gainditzen hastearekin batera, gaurdaino jarraitu duen joera. Biztanleriaren adin egituraren zahartzea izan da horren erantzule (ikus </w:t>
      </w:r>
      <w:r>
        <w:rPr/>
        <w:fldChar w:fldCharType="begin"/>
      </w:r>
      <w:r>
        <w:rPr/>
        <w:instrText xml:space="preserve"> REF _Ref182814301 \h </w:instrText>
      </w:r>
      <w:r>
        <w:rPr/>
        <w:fldChar w:fldCharType="separate"/>
      </w:r>
      <w:r>
        <w:rPr/>
        <w:t>3. Grafikoa</w:t>
      </w:r>
      <w:r>
        <w:rPr/>
        <w:fldChar w:fldCharType="end"/>
      </w:r>
      <w:r>
        <w:rPr/>
        <w:t xml:space="preserve"> eta </w:t>
      </w:r>
      <w:r>
        <w:rPr/>
        <w:fldChar w:fldCharType="begin"/>
      </w:r>
      <w:r>
        <w:rPr/>
        <w:instrText xml:space="preserve"> REF _Ref190419474 \h </w:instrText>
      </w:r>
      <w:r>
        <w:rPr/>
        <w:fldChar w:fldCharType="separate"/>
      </w:r>
      <w:r>
        <w:rPr/>
        <w:t>3. Taula</w:t>
      </w:r>
      <w:r>
        <w:rPr/>
        <w:fldChar w:fldCharType="end"/>
      </w:r>
      <w:r>
        <w:rPr/>
        <w:t>).</w:t>
      </w:r>
      <w:bookmarkEnd w:id="22"/>
    </w:p>
    <w:p>
      <w:pPr>
        <w:pStyle w:val="Caption"/>
        <w:rPr/>
      </w:pPr>
      <w:bookmarkStart w:id="23" w:name="_Toc191031077"/>
      <w:bookmarkStart w:id="24" w:name="_Ref182814301"/>
      <w:r>
        <w:rPr/>
        <w:fldChar w:fldCharType="begin"/>
      </w:r>
      <w:r>
        <w:rPr/>
        <w:instrText xml:space="preserve"> SEQ Grafikoa \* ARABIC </w:instrText>
      </w:r>
      <w:r>
        <w:rPr/>
        <w:fldChar w:fldCharType="separate"/>
      </w:r>
      <w:r>
        <w:rPr/>
        <w:t>3</w:t>
      </w:r>
      <w:r>
        <w:rPr/>
        <w:fldChar w:fldCharType="end"/>
      </w:r>
      <w:r>
        <w:rPr/>
        <w:t>. Grafikoa</w:t>
      </w:r>
      <w:bookmarkEnd w:id="24"/>
      <w:r>
        <w:rPr/>
        <w:t>: Jaiotza tasaren bilakaera (‰).</w:t>
        <w:br/>
        <w:t>Pasaia, 2000-2025</w:t>
      </w:r>
      <w:bookmarkEnd w:id="23"/>
    </w:p>
    <w:p>
      <w:pPr>
        <w:pStyle w:val="Iturria"/>
        <w:rPr/>
      </w:pPr>
      <w:r>
        <w:rPr/>
        <w:drawing>
          <wp:inline distT="0" distB="0" distL="0" distR="0">
            <wp:extent cx="5391150" cy="3200400"/>
            <wp:effectExtent l="0" t="0" r="0" b="0"/>
            <wp:docPr id="4" name="Irudia 4" descr="Hau duen irudia diagrama, Lurrazal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rudia 4" descr="Hau duen irudia diagrama, Lurrazala, lerroa&#10;&#10;Azalpena automatikoki sortu da"/>
                    <pic:cNvPicPr>
                      <a:picLocks noChangeAspect="1" noChangeArrowheads="1"/>
                    </pic:cNvPicPr>
                  </pic:nvPicPr>
                  <pic:blipFill>
                    <a:blip r:embed="rId5"/>
                    <a:stretch>
                      <a:fillRect/>
                    </a:stretch>
                  </pic:blipFill>
                  <pic:spPr bwMode="auto">
                    <a:xfrm>
                      <a:off x="0" y="0"/>
                      <a:ext cx="5391150" cy="3200400"/>
                    </a:xfrm>
                    <a:prstGeom prst="rect">
                      <a:avLst/>
                    </a:prstGeom>
                  </pic:spPr>
                </pic:pic>
              </a:graphicData>
            </a:graphic>
          </wp:inline>
        </w:drawing>
      </w:r>
      <w:r>
        <w:rPr/>
        <w:t xml:space="preserve"> </w:t>
      </w:r>
      <w:r>
        <w:rPr/>
        <w:t>Iturria: INE eta errolda.</w:t>
      </w:r>
    </w:p>
    <w:p>
      <w:pPr>
        <w:pStyle w:val="Iturria"/>
        <w:rPr/>
      </w:pPr>
      <w:r>
        <w:rPr/>
      </w:r>
    </w:p>
    <w:p>
      <w:pPr>
        <w:pStyle w:val="Caption"/>
        <w:rPr/>
      </w:pPr>
      <w:bookmarkStart w:id="25" w:name="_Toc191031146"/>
      <w:bookmarkStart w:id="26" w:name="_Ref190419474"/>
      <w:r>
        <w:rPr/>
        <w:fldChar w:fldCharType="begin"/>
      </w:r>
      <w:r>
        <w:rPr/>
        <w:instrText xml:space="preserve"> SEQ Taula \* ARABIC </w:instrText>
      </w:r>
      <w:r>
        <w:rPr/>
        <w:fldChar w:fldCharType="separate"/>
      </w:r>
      <w:r>
        <w:rPr/>
        <w:t>3</w:t>
      </w:r>
      <w:r>
        <w:rPr/>
        <w:fldChar w:fldCharType="end"/>
      </w:r>
      <w:r>
        <w:rPr/>
        <w:t>. Taula</w:t>
      </w:r>
      <w:bookmarkEnd w:id="26"/>
      <w:r>
        <w:rPr/>
        <w:t>: Jaiotza tasaren bilakaera (‰).</w:t>
        <w:br/>
        <w:t>Pasaia, 2000-2024</w:t>
      </w:r>
      <w:bookmarkEnd w:id="25"/>
    </w:p>
    <w:tbl>
      <w:tblPr>
        <w:tblW w:w="796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43"/>
        <w:gridCol w:w="960"/>
        <w:gridCol w:w="961"/>
        <w:gridCol w:w="959"/>
        <w:gridCol w:w="961"/>
        <w:gridCol w:w="959"/>
        <w:gridCol w:w="961"/>
        <w:gridCol w:w="959"/>
      </w:tblGrid>
      <w:tr>
        <w:trPr>
          <w:trHeight w:val="300" w:hRule="atLeast"/>
        </w:trPr>
        <w:tc>
          <w:tcPr>
            <w:tcW w:w="124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Urtea</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2000</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2005</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243"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Jaiotza tasa</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9,1</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9,7</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w:t>
            </w:r>
          </w:p>
        </w:tc>
        <w:tc>
          <w:tcPr>
            <w:tcW w:w="95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w:t>
            </w:r>
          </w:p>
        </w:tc>
      </w:tr>
    </w:tbl>
    <w:p>
      <w:pPr>
        <w:pStyle w:val="Iturria"/>
        <w:rPr/>
      </w:pPr>
      <w:r>
        <w:rPr/>
        <w:t>Iturria: INE eta errolda.</w:t>
      </w:r>
    </w:p>
    <w:p>
      <w:pPr>
        <w:pStyle w:val="Normal"/>
        <w:jc w:val="both"/>
        <w:rPr/>
      </w:pPr>
      <w:bookmarkStart w:id="27" w:name="_Ref176947458"/>
      <w:r>
        <w:rPr/>
        <w:t xml:space="preserve">Horiek horrela, bilakaera honekin batera Pasaiako biztanleria-egitura ere aldatu egin da. Batetik, biztanleriaren adin egitura zahartu egin da, eta, bestetik, biztanleriaren jaioterriaren araberako proportzioak aldatu egin dira. Emakumeen ehunekoa (%51,9) gizonena baino handiagoa da (%48,1). Banaketa hau 2000. urtearen oso antzekoa da, baina aipagarria da biztanleria kopuruak behea jo zuen urtean (2013), atzerakada ekonomikoaren testuinguruan, emakumeen ehunekoa %52,6a izatera iritsi zela (ikus </w:t>
      </w:r>
      <w:r>
        <w:rPr/>
        <w:fldChar w:fldCharType="begin"/>
      </w:r>
      <w:r>
        <w:rPr/>
        <w:instrText xml:space="preserve"> REF _Ref190421052 \h </w:instrText>
      </w:r>
      <w:r>
        <w:rPr/>
        <w:fldChar w:fldCharType="separate"/>
      </w:r>
      <w:r>
        <w:rPr/>
        <w:t>4. Grafikoa</w:t>
      </w:r>
      <w:r>
        <w:rPr/>
        <w:fldChar w:fldCharType="end"/>
      </w:r>
      <w:r>
        <w:rPr/>
        <w:t xml:space="preserve"> eta </w:t>
      </w:r>
      <w:r>
        <w:rPr/>
        <w:fldChar w:fldCharType="begin"/>
      </w:r>
      <w:r>
        <w:rPr/>
        <w:instrText xml:space="preserve"> REF _Ref176947469 \h </w:instrText>
      </w:r>
      <w:r>
        <w:rPr/>
        <w:fldChar w:fldCharType="separate"/>
      </w:r>
      <w:r>
        <w:rPr/>
        <w:t>4. Taula</w:t>
      </w:r>
      <w:r>
        <w:rPr/>
        <w:fldChar w:fldCharType="end"/>
      </w:r>
      <w:r>
        <w:rPr/>
        <w:t>).</w:t>
      </w:r>
    </w:p>
    <w:p>
      <w:pPr>
        <w:pStyle w:val="Normal"/>
        <w:rPr/>
      </w:pPr>
      <w:r>
        <w:rPr/>
      </w:r>
    </w:p>
    <w:p>
      <w:pPr>
        <w:pStyle w:val="Normal"/>
        <w:rPr/>
      </w:pPr>
      <w:r>
        <w:rPr/>
      </w:r>
      <w:r>
        <w:br w:type="page"/>
      </w:r>
    </w:p>
    <w:p>
      <w:pPr>
        <w:pStyle w:val="Caption"/>
        <w:rPr/>
      </w:pPr>
      <w:bookmarkStart w:id="28" w:name="_Toc191031078"/>
      <w:bookmarkStart w:id="29" w:name="_Toc162347800"/>
      <w:bookmarkStart w:id="30" w:name="_Ref190421052"/>
      <w:r>
        <w:rPr/>
        <w:fldChar w:fldCharType="begin"/>
      </w:r>
      <w:r>
        <w:rPr/>
        <w:instrText xml:space="preserve"> SEQ Grafikoa \* ARABIC </w:instrText>
      </w:r>
      <w:r>
        <w:rPr/>
        <w:fldChar w:fldCharType="separate"/>
      </w:r>
      <w:r>
        <w:rPr/>
        <w:t>4</w:t>
      </w:r>
      <w:r>
        <w:rPr/>
        <w:fldChar w:fldCharType="end"/>
      </w:r>
      <w:r>
        <w:rPr/>
        <w:t>. Grafikoa</w:t>
      </w:r>
      <w:bookmarkEnd w:id="27"/>
      <w:bookmarkEnd w:id="30"/>
      <w:r>
        <w:rPr/>
        <w:t>: Biztanleriaren bilakaera sexuaren arabera (%).</w:t>
        <w:br/>
        <w:t>Sexua, 2000-202</w:t>
      </w:r>
      <w:bookmarkEnd w:id="29"/>
      <w:r>
        <w:rPr/>
        <w:t>5</w:t>
      </w:r>
      <w:bookmarkEnd w:id="28"/>
    </w:p>
    <w:p>
      <w:pPr>
        <w:pStyle w:val="Normal"/>
        <w:rPr/>
      </w:pPr>
      <w:r>
        <w:rPr/>
        <w:drawing>
          <wp:inline distT="0" distB="0" distL="0" distR="0">
            <wp:extent cx="5390515" cy="3200400"/>
            <wp:effectExtent l="0" t="0" r="0" b="0"/>
            <wp:docPr id="5" name="Irudia 5" descr="Hau duen irudia testua, pantaila-argazkia, Laukizuzen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udia 5" descr="Hau duen irudia testua, pantaila-argazkia, Laukizuzena, diagrama&#10;&#10;Azalpena automatikoki sortu da"/>
                    <pic:cNvPicPr>
                      <a:picLocks noChangeAspect="1" noChangeArrowheads="1"/>
                    </pic:cNvPicPr>
                  </pic:nvPicPr>
                  <pic:blipFill>
                    <a:blip r:embed="rId6"/>
                    <a:stretch>
                      <a:fillRect/>
                    </a:stretch>
                  </pic:blipFill>
                  <pic:spPr bwMode="auto">
                    <a:xfrm>
                      <a:off x="0" y="0"/>
                      <a:ext cx="5390515" cy="3200400"/>
                    </a:xfrm>
                    <a:prstGeom prst="rect">
                      <a:avLst/>
                    </a:prstGeom>
                  </pic:spPr>
                </pic:pic>
              </a:graphicData>
            </a:graphic>
          </wp:inline>
        </w:drawing>
      </w:r>
    </w:p>
    <w:p>
      <w:pPr>
        <w:pStyle w:val="Iturria"/>
        <w:rPr/>
      </w:pPr>
      <w:r>
        <w:rPr/>
        <w:t>Iturria: INE eta errolda.</w:t>
      </w:r>
    </w:p>
    <w:p>
      <w:pPr>
        <w:pStyle w:val="Caption"/>
        <w:rPr/>
      </w:pPr>
      <w:bookmarkStart w:id="31" w:name="_Toc191031147"/>
      <w:bookmarkStart w:id="32" w:name="_Toc162347511"/>
      <w:bookmarkStart w:id="33" w:name="_Ref176947469"/>
      <w:r>
        <w:rPr/>
        <w:fldChar w:fldCharType="begin"/>
      </w:r>
      <w:r>
        <w:rPr/>
        <w:instrText xml:space="preserve"> SEQ Taula \* ARABIC </w:instrText>
      </w:r>
      <w:r>
        <w:rPr/>
        <w:fldChar w:fldCharType="separate"/>
      </w:r>
      <w:r>
        <w:rPr/>
        <w:t>4</w:t>
      </w:r>
      <w:r>
        <w:rPr/>
        <w:fldChar w:fldCharType="end"/>
      </w:r>
      <w:r>
        <w:rPr/>
        <w:t>. Taula</w:t>
      </w:r>
      <w:bookmarkEnd w:id="33"/>
      <w:r>
        <w:rPr/>
        <w:t>: Biztanleriaren bilakaera sexuaren arabera (kop.).</w:t>
        <w:br/>
        <w:t>Pasaia, 2000-202</w:t>
      </w:r>
      <w:bookmarkEnd w:id="32"/>
      <w:r>
        <w:rPr/>
        <w:t>5</w:t>
      </w:r>
      <w:bookmarkEnd w:id="31"/>
    </w:p>
    <w:tbl>
      <w:tblPr>
        <w:tblW w:w="773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9"/>
        <w:gridCol w:w="937"/>
        <w:gridCol w:w="938"/>
        <w:gridCol w:w="937"/>
        <w:gridCol w:w="938"/>
        <w:gridCol w:w="937"/>
        <w:gridCol w:w="938"/>
        <w:gridCol w:w="937"/>
      </w:tblGrid>
      <w:tr>
        <w:trPr>
          <w:trHeight w:val="300" w:hRule="atLeast"/>
        </w:trPr>
        <w:tc>
          <w:tcPr>
            <w:tcW w:w="116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2000</w:t>
            </w:r>
          </w:p>
        </w:tc>
        <w:tc>
          <w:tcPr>
            <w:tcW w:w="93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2005</w:t>
            </w:r>
          </w:p>
        </w:tc>
        <w:tc>
          <w:tcPr>
            <w:tcW w:w="93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3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3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3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7"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16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8.137</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7.853</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7.694</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7.519</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7.775</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7.831</w:t>
            </w:r>
          </w:p>
        </w:tc>
        <w:tc>
          <w:tcPr>
            <w:tcW w:w="93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8.018</w:t>
            </w:r>
          </w:p>
        </w:tc>
      </w:tr>
      <w:tr>
        <w:trPr>
          <w:trHeight w:val="300" w:hRule="atLeast"/>
        </w:trPr>
        <w:tc>
          <w:tcPr>
            <w:tcW w:w="116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8.639</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8.263</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8.264</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8.343</w:t>
            </w:r>
          </w:p>
        </w:tc>
        <w:tc>
          <w:tcPr>
            <w:tcW w:w="9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8.454</w:t>
            </w:r>
          </w:p>
        </w:tc>
        <w:tc>
          <w:tcPr>
            <w:tcW w:w="93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8.523</w:t>
            </w:r>
          </w:p>
        </w:tc>
        <w:tc>
          <w:tcPr>
            <w:tcW w:w="93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8.641</w:t>
            </w:r>
          </w:p>
        </w:tc>
      </w:tr>
      <w:tr>
        <w:trPr>
          <w:trHeight w:val="300" w:hRule="atLeast"/>
        </w:trPr>
        <w:tc>
          <w:tcPr>
            <w:tcW w:w="1169"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16.776</w:t>
            </w:r>
          </w:p>
        </w:tc>
        <w:tc>
          <w:tcPr>
            <w:tcW w:w="93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16.116</w:t>
            </w:r>
          </w:p>
        </w:tc>
        <w:tc>
          <w:tcPr>
            <w:tcW w:w="93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15.958</w:t>
            </w:r>
          </w:p>
        </w:tc>
        <w:tc>
          <w:tcPr>
            <w:tcW w:w="93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15.862</w:t>
            </w:r>
          </w:p>
        </w:tc>
        <w:tc>
          <w:tcPr>
            <w:tcW w:w="93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16.229</w:t>
            </w:r>
          </w:p>
        </w:tc>
        <w:tc>
          <w:tcPr>
            <w:tcW w:w="93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16.354</w:t>
            </w:r>
          </w:p>
        </w:tc>
        <w:tc>
          <w:tcPr>
            <w:tcW w:w="937"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rPr/>
      </w:pPr>
      <w:r>
        <w:rPr/>
        <w:t>Iturria: INE eta errolda.</w:t>
      </w:r>
    </w:p>
    <w:p>
      <w:pPr>
        <w:pStyle w:val="Normal"/>
        <w:jc w:val="both"/>
        <w:rPr/>
      </w:pPr>
      <w:r>
        <w:rPr/>
        <w:t xml:space="preserve">Adin egiturari dagokionez, 2000 eta 2025 urtea alderatuta, 50-64 urte arteko (%24,3) eta 80 urtetik gorako taldeen (%7,9) pisu erlatiboa handitu da, 6,0 eta 3,9 puntu, hurrenez hurren. Aitzitik, 65-79 urte bitarteko pertsonak (%14,5) eta bereziki, 20-34 urte bitarteko gazteen belaunaldia (%16,6) dira indarra galdu dutenak. Gazteen kasuan zehazki, biztanleria osoarekiko pisu erlatiboa 9,1 puntu murriztu da. Beste modu batera esanda, gaur egun udalerrian duela 25 urte baino 1.552 pertsona gutxiago bizi dira. 0-19 urte bitarteko ume eta nerabeen (%16,5) eta 35-49 urte bitarteko pertsonen (%20,1) antzeko proportzioan mantendu dira (ikus </w:t>
      </w:r>
      <w:r>
        <w:rPr/>
        <w:fldChar w:fldCharType="begin"/>
      </w:r>
      <w:r>
        <w:rPr/>
        <w:instrText xml:space="preserve"> REF _Ref176947494 \h </w:instrText>
      </w:r>
      <w:r>
        <w:rPr/>
        <w:fldChar w:fldCharType="separate"/>
      </w:r>
      <w:r>
        <w:rPr/>
        <w:t>5. Grafikoa</w:t>
      </w:r>
      <w:r>
        <w:rPr/>
        <w:fldChar w:fldCharType="end"/>
      </w:r>
      <w:r>
        <w:rPr/>
        <w:t xml:space="preserve">, </w:t>
      </w:r>
      <w:r>
        <w:rPr/>
        <w:fldChar w:fldCharType="begin"/>
      </w:r>
      <w:r>
        <w:rPr/>
        <w:instrText xml:space="preserve"> REF _Ref182932698 \h </w:instrText>
      </w:r>
      <w:r>
        <w:rPr/>
        <w:fldChar w:fldCharType="separate"/>
      </w:r>
      <w:r>
        <w:rPr/>
        <w:t>6. Grafikoa</w:t>
      </w:r>
      <w:r>
        <w:rPr/>
        <w:fldChar w:fldCharType="end"/>
      </w:r>
      <w:r>
        <w:rPr/>
        <w:t xml:space="preserve"> eta </w:t>
      </w:r>
      <w:r>
        <w:rPr/>
        <w:fldChar w:fldCharType="begin"/>
      </w:r>
      <w:r>
        <w:rPr/>
        <w:instrText xml:space="preserve"> REF _Ref176947572 \h </w:instrText>
      </w:r>
      <w:r>
        <w:rPr/>
        <w:fldChar w:fldCharType="separate"/>
      </w:r>
      <w:r>
        <w:rPr/>
        <w:t>5. Taula</w:t>
      </w:r>
      <w:r>
        <w:rPr/>
        <w:fldChar w:fldCharType="end"/>
      </w:r>
      <w:r>
        <w:rPr/>
        <w:t xml:space="preserve">).    </w:t>
      </w:r>
    </w:p>
    <w:p>
      <w:pPr>
        <w:pStyle w:val="Normal"/>
        <w:jc w:val="both"/>
        <w:rPr/>
      </w:pPr>
      <w:r>
        <w:rPr/>
        <w:t>Honek guztiak iraganeko hazkundearen tamaina (</w:t>
      </w:r>
      <w:r>
        <w:rPr>
          <w:i/>
          <w:iCs/>
        </w:rPr>
        <w:t>baby boom</w:t>
      </w:r>
      <w:r>
        <w:rPr/>
        <w:t xml:space="preserve"> izenekoa) adierazteaz gain, gaur egun gertatzen ari diren biztanle mugimenduez eta hauen eraginez argibide indartsuak ematen ditu. Aipatzekoa da, edonola ere, gazteen galera handienak mende hasierako hamarkadan izan zirela (hazkunde ekonomikoko garaian) eta 0-19 urte arteko belaunaldiaren kopuruak emendatu zirela 2010eko atzeraldia gainditzen hasitakoan (2013tik aurrera). Azken buru biztanleriaren zahartze maila handia eta belaunaldien arteko errelebo maila apala iradokitzen ditu, eta ondorioz, hurrengo urteetan biztanleria modu naturalean biziberritzeko ezintasuna aurreikusi daiteke. Joera hori dagoeneko antzeman daiteke biztanleria piramidearen forma erregresiboan (ikus </w:t>
      </w:r>
      <w:r>
        <w:rPr/>
        <w:fldChar w:fldCharType="begin"/>
      </w:r>
      <w:r>
        <w:rPr/>
        <w:instrText xml:space="preserve"> REF _Ref176947494 \h </w:instrText>
      </w:r>
      <w:r>
        <w:rPr/>
        <w:fldChar w:fldCharType="separate"/>
      </w:r>
      <w:r>
        <w:rPr/>
        <w:t>5. Grafikoa</w:t>
      </w:r>
      <w:r>
        <w:rPr/>
        <w:fldChar w:fldCharType="end"/>
      </w:r>
      <w:r>
        <w:rPr/>
        <w:t xml:space="preserve">, </w:t>
      </w:r>
      <w:r>
        <w:rPr/>
        <w:fldChar w:fldCharType="begin"/>
      </w:r>
      <w:r>
        <w:rPr/>
        <w:instrText xml:space="preserve"> REF _Ref182932698 \h </w:instrText>
      </w:r>
      <w:r>
        <w:rPr/>
        <w:fldChar w:fldCharType="separate"/>
      </w:r>
      <w:r>
        <w:rPr/>
        <w:t>6. Grafikoa</w:t>
      </w:r>
      <w:r>
        <w:rPr/>
        <w:fldChar w:fldCharType="end"/>
      </w:r>
      <w:r>
        <w:rPr/>
        <w:t xml:space="preserve"> eta </w:t>
      </w:r>
      <w:r>
        <w:rPr/>
        <w:fldChar w:fldCharType="begin"/>
      </w:r>
      <w:r>
        <w:rPr/>
        <w:instrText xml:space="preserve"> REF _Ref176947572 \h </w:instrText>
      </w:r>
      <w:r>
        <w:rPr/>
        <w:fldChar w:fldCharType="separate"/>
      </w:r>
      <w:r>
        <w:rPr/>
        <w:t>5. Taula</w:t>
      </w:r>
      <w:r>
        <w:rPr/>
        <w:fldChar w:fldCharType="end"/>
      </w:r>
      <w:r>
        <w:rPr/>
        <w:t>).</w:t>
      </w:r>
    </w:p>
    <w:p>
      <w:pPr>
        <w:pStyle w:val="Caption"/>
        <w:rPr/>
      </w:pPr>
      <w:bookmarkStart w:id="34" w:name="_Toc191031079"/>
      <w:bookmarkStart w:id="35" w:name="_Toc162347801"/>
      <w:bookmarkStart w:id="36" w:name="_Ref176947494"/>
      <w:r>
        <w:rPr/>
        <w:fldChar w:fldCharType="begin"/>
      </w:r>
      <w:r>
        <w:rPr/>
        <w:instrText xml:space="preserve"> SEQ Grafikoa \* ARABIC </w:instrText>
      </w:r>
      <w:r>
        <w:rPr/>
        <w:fldChar w:fldCharType="separate"/>
      </w:r>
      <w:r>
        <w:rPr/>
        <w:t>5</w:t>
      </w:r>
      <w:r>
        <w:rPr/>
        <w:fldChar w:fldCharType="end"/>
      </w:r>
      <w:r>
        <w:rPr/>
        <w:t>. Grafikoa</w:t>
      </w:r>
      <w:bookmarkEnd w:id="36"/>
      <w:r>
        <w:rPr/>
        <w:t>: Biztanleriaren bilakaera adinaren arabera (%).</w:t>
        <w:br/>
        <w:t>Pasaia, 2000-202</w:t>
      </w:r>
      <w:bookmarkEnd w:id="35"/>
      <w:r>
        <w:rPr/>
        <w:t>5</w:t>
      </w:r>
      <w:bookmarkEnd w:id="34"/>
    </w:p>
    <w:p>
      <w:pPr>
        <w:pStyle w:val="Normal"/>
        <w:rPr/>
      </w:pPr>
      <w:r>
        <w:rPr/>
        <w:drawing>
          <wp:inline distT="0" distB="0" distL="0" distR="0">
            <wp:extent cx="5390515" cy="3200400"/>
            <wp:effectExtent l="0" t="0" r="0" b="0"/>
            <wp:docPr id="6" name="Irudia 6" descr="Hau duen irudia testua, pantaila-argazkia, bander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rudia 6" descr="Hau duen irudia testua, pantaila-argazkia, bandera&#10;&#10;Azalpena automatikoki sortu da"/>
                    <pic:cNvPicPr>
                      <a:picLocks noChangeAspect="1" noChangeArrowheads="1"/>
                    </pic:cNvPicPr>
                  </pic:nvPicPr>
                  <pic:blipFill>
                    <a:blip r:embed="rId7"/>
                    <a:stretch>
                      <a:fillRect/>
                    </a:stretch>
                  </pic:blipFill>
                  <pic:spPr bwMode="auto">
                    <a:xfrm>
                      <a:off x="0" y="0"/>
                      <a:ext cx="5390515" cy="3200400"/>
                    </a:xfrm>
                    <a:prstGeom prst="rect">
                      <a:avLst/>
                    </a:prstGeom>
                  </pic:spPr>
                </pic:pic>
              </a:graphicData>
            </a:graphic>
          </wp:inline>
        </w:drawing>
      </w:r>
    </w:p>
    <w:p>
      <w:pPr>
        <w:pStyle w:val="Iturria"/>
        <w:rPr/>
      </w:pPr>
      <w:r>
        <w:rPr/>
        <w:t>Iturria: INE eta errolda.</w:t>
      </w:r>
    </w:p>
    <w:p>
      <w:pPr>
        <w:pStyle w:val="Iturria"/>
        <w:rPr/>
      </w:pPr>
      <w:r>
        <w:rPr/>
      </w:r>
    </w:p>
    <w:p>
      <w:pPr>
        <w:pStyle w:val="Caption"/>
        <w:rPr/>
      </w:pPr>
      <w:bookmarkStart w:id="37" w:name="_Toc191031148"/>
      <w:bookmarkStart w:id="38" w:name="_Toc162347512"/>
      <w:bookmarkStart w:id="39" w:name="_Ref176946790"/>
      <w:bookmarkStart w:id="40" w:name="_Ref176947572"/>
      <w:bookmarkStart w:id="41" w:name="_Ref176946763"/>
      <w:bookmarkEnd w:id="41"/>
      <w:r>
        <w:rPr/>
        <w:fldChar w:fldCharType="begin"/>
      </w:r>
      <w:r>
        <w:rPr/>
        <w:instrText xml:space="preserve"> SEQ Taula \* ARABIC </w:instrText>
      </w:r>
      <w:r>
        <w:rPr/>
        <w:fldChar w:fldCharType="separate"/>
      </w:r>
      <w:r>
        <w:rPr/>
        <w:t>5</w:t>
      </w:r>
      <w:r>
        <w:rPr/>
        <w:fldChar w:fldCharType="end"/>
      </w:r>
      <w:r>
        <w:rPr/>
        <w:t xml:space="preserve">. </w:t>
      </w:r>
      <w:bookmarkStart w:id="42" w:name="_Ref176946772"/>
      <w:r>
        <w:rPr/>
        <w:t>Taula</w:t>
      </w:r>
      <w:bookmarkEnd w:id="40"/>
      <w:r>
        <w:rPr/>
        <w:t>: Biztanleriaren bilakaera adinaren arabera (kop.).</w:t>
        <w:br/>
        <w:t>Pasaia, 2000-202</w:t>
      </w:r>
      <w:bookmarkEnd w:id="38"/>
      <w:bookmarkEnd w:id="39"/>
      <w:bookmarkEnd w:id="42"/>
      <w:r>
        <w:rPr/>
        <w:t>5</w:t>
      </w:r>
      <w:bookmarkEnd w:id="37"/>
    </w:p>
    <w:tbl>
      <w:tblPr>
        <w:tblW w:w="782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02"/>
        <w:gridCol w:w="959"/>
        <w:gridCol w:w="960"/>
        <w:gridCol w:w="961"/>
        <w:gridCol w:w="959"/>
        <w:gridCol w:w="960"/>
        <w:gridCol w:w="961"/>
        <w:gridCol w:w="959"/>
      </w:tblGrid>
      <w:tr>
        <w:trPr>
          <w:trHeight w:val="300" w:hRule="atLeast"/>
        </w:trPr>
        <w:tc>
          <w:tcPr>
            <w:tcW w:w="110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Adina</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2000</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2005</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0-19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2.658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2.549</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2.690</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2.806</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2.923</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2.901</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2.756</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20-34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4.323</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3.561</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3.038</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2.413</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2.232</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2.354</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2.771</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35-49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3.404</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3.818</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4.030</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4.148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4.177</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3.809</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3.354</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50-64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3.067</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2.800</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2.770</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2.915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3.280</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3.680</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4.048</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65-79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2.643</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2.584</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2.510</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2.439</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2.283</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2.330</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2.412</w:t>
            </w:r>
          </w:p>
        </w:tc>
      </w:tr>
      <w:tr>
        <w:trPr>
          <w:trHeight w:val="300" w:hRule="atLeast"/>
        </w:trPr>
        <w:tc>
          <w:tcPr>
            <w:tcW w:w="110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r>
              <w:rPr>
                <w:rFonts w:eastAsia="Times New Roman" w:cs="Calibri Light"/>
                <w:color w:val="000000"/>
                <w:kern w:val="0"/>
                <w:sz w:val="20"/>
                <w:szCs w:val="20"/>
                <w:lang w:eastAsia="eu-ES"/>
                <w14:ligatures w14:val="none"/>
              </w:rPr>
              <w:t>80 urte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804</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920</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1.141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1.334</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1.280</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1.318</w:t>
            </w:r>
          </w:p>
        </w:tc>
      </w:tr>
      <w:tr>
        <w:trPr>
          <w:trHeight w:val="300" w:hRule="atLeast"/>
        </w:trPr>
        <w:tc>
          <w:tcPr>
            <w:tcW w:w="1102"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16.776</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16.116</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15.958</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15.862</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16.229</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16.354</w:t>
            </w:r>
          </w:p>
        </w:tc>
        <w:tc>
          <w:tcPr>
            <w:tcW w:w="95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tabs>
          <w:tab w:val="clear" w:pos="708"/>
          <w:tab w:val="center" w:pos="4252" w:leader="none"/>
          <w:tab w:val="right" w:pos="8504" w:leader="none"/>
        </w:tabs>
        <w:rPr/>
      </w:pPr>
      <w:r>
        <w:rPr/>
        <w:tab/>
        <w:t>Iturria: INE eta errolda.</w:t>
      </w:r>
    </w:p>
    <w:p>
      <w:pPr>
        <w:pStyle w:val="Iturria"/>
        <w:tabs>
          <w:tab w:val="clear" w:pos="708"/>
          <w:tab w:val="center" w:pos="4252" w:leader="none"/>
          <w:tab w:val="right" w:pos="8504" w:leader="none"/>
        </w:tabs>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43" w:name="_Toc191031080"/>
      <w:bookmarkStart w:id="44" w:name="_Ref182932698"/>
      <w:r>
        <w:rPr/>
        <w:fldChar w:fldCharType="begin"/>
      </w:r>
      <w:r>
        <w:rPr/>
        <w:instrText xml:space="preserve"> SEQ Grafikoa \* ARABIC </w:instrText>
      </w:r>
      <w:r>
        <w:rPr/>
        <w:fldChar w:fldCharType="separate"/>
      </w:r>
      <w:r>
        <w:rPr/>
        <w:t>6</w:t>
      </w:r>
      <w:r>
        <w:rPr/>
        <w:fldChar w:fldCharType="end"/>
      </w:r>
      <w:r>
        <w:rPr/>
        <w:t>. Grafikoa</w:t>
      </w:r>
      <w:bookmarkEnd w:id="44"/>
      <w:r>
        <w:rPr/>
        <w:t>: Biztanleriaren piramide demografikoa (kop.).</w:t>
        <w:br/>
        <w:t>Pasaia, 2010-2025</w:t>
      </w:r>
      <w:bookmarkEnd w:id="43"/>
    </w:p>
    <w:p>
      <w:pPr>
        <w:pStyle w:val="Iturria"/>
        <w:rPr/>
      </w:pPr>
      <w:r>
        <w:rPr/>
        <w:drawing>
          <wp:inline distT="0" distB="0" distL="0" distR="0">
            <wp:extent cx="5275580" cy="3131820"/>
            <wp:effectExtent l="0" t="0" r="0" b="0"/>
            <wp:docPr id="7" name="Irudia 7" descr="Hau duen irudia testua, diagrama, pantaila-argazkia, Lurrazal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rudia 7" descr="Hau duen irudia testua, diagrama, pantaila-argazkia, Lurrazala&#10;&#10;Azalpena automatikoki sortu da"/>
                    <pic:cNvPicPr>
                      <a:picLocks noChangeAspect="1" noChangeArrowheads="1"/>
                    </pic:cNvPicPr>
                  </pic:nvPicPr>
                  <pic:blipFill>
                    <a:blip r:embed="rId8"/>
                    <a:stretch>
                      <a:fillRect/>
                    </a:stretch>
                  </pic:blipFill>
                  <pic:spPr bwMode="auto">
                    <a:xfrm>
                      <a:off x="0" y="0"/>
                      <a:ext cx="5275580" cy="3131820"/>
                    </a:xfrm>
                    <a:prstGeom prst="rect">
                      <a:avLst/>
                    </a:prstGeom>
                  </pic:spPr>
                </pic:pic>
              </a:graphicData>
            </a:graphic>
          </wp:inline>
        </w:drawing>
      </w:r>
      <w:r>
        <w:rPr/>
        <w:t>Iturria: INE eta errolda.</w:t>
      </w:r>
    </w:p>
    <w:p>
      <w:pPr>
        <w:pStyle w:val="Normal"/>
        <w:jc w:val="both"/>
        <w:rPr/>
      </w:pPr>
      <w:r>
        <w:rPr/>
        <w:t xml:space="preserve">Halaber, azken urteetako migrazio saldo positiboak biztanleriaren jaioterriaren araberako egitura ere aldatu du. Atzerritarren tasa, esaterako, 2000 urtean %1,8 izatetik (INEko datuak) 2024 urtean %19,9 izatera igaro da (erroldako datuak). Azken urtean, beraz, estatutik kanpo jaiotako 3.307 herritar ditu Pasaiak. INEko datuekin alderatuta Pasaiak Oarsoaldeak (%13,2), Donostialdeak (%13,6), Gipuzkoak (%13,4) eta EAEk (%13,5) baino atzerritarren tasa handiagoa duela ikus daiteke, izan azken urteko datuan zein bilakaera historikoan (ikus </w:t>
      </w:r>
      <w:r>
        <w:rPr/>
        <w:fldChar w:fldCharType="begin"/>
      </w:r>
      <w:r>
        <w:rPr/>
        <w:instrText xml:space="preserve"> REF _Ref176947616 \h </w:instrText>
      </w:r>
      <w:r>
        <w:rPr/>
        <w:fldChar w:fldCharType="separate"/>
      </w:r>
      <w:r>
        <w:rPr/>
        <w:t>7. Grafikoa</w:t>
      </w:r>
      <w:r>
        <w:rPr/>
        <w:fldChar w:fldCharType="end"/>
      </w:r>
      <w:r>
        <w:rPr/>
        <w:t xml:space="preserve"> eta </w:t>
      </w:r>
      <w:r>
        <w:rPr/>
        <w:fldChar w:fldCharType="begin"/>
      </w:r>
      <w:r>
        <w:rPr/>
        <w:instrText xml:space="preserve"> REF _Ref176947513 \h </w:instrText>
      </w:r>
      <w:r>
        <w:rPr/>
        <w:fldChar w:fldCharType="separate"/>
      </w:r>
      <w:r>
        <w:rPr/>
        <w:t>6. Taula</w:t>
      </w:r>
      <w:r>
        <w:rPr/>
        <w:fldChar w:fldCharType="end"/>
      </w:r>
      <w:r>
        <w:rPr/>
        <w:t xml:space="preserve">). </w:t>
      </w:r>
    </w:p>
    <w:p>
      <w:pPr>
        <w:pStyle w:val="Caption"/>
        <w:rPr/>
      </w:pPr>
      <w:bookmarkStart w:id="45" w:name="_Toc191031081"/>
      <w:bookmarkStart w:id="46" w:name="_Ref176947616"/>
      <w:r>
        <w:rPr/>
        <w:fldChar w:fldCharType="begin"/>
      </w:r>
      <w:r>
        <w:rPr/>
        <w:instrText xml:space="preserve"> SEQ Grafikoa \* ARABIC </w:instrText>
      </w:r>
      <w:r>
        <w:rPr/>
        <w:fldChar w:fldCharType="separate"/>
      </w:r>
      <w:r>
        <w:rPr/>
        <w:t>7</w:t>
      </w:r>
      <w:r>
        <w:rPr/>
        <w:fldChar w:fldCharType="end"/>
      </w:r>
      <w:r>
        <w:rPr/>
        <w:t>. Grafikoa</w:t>
      </w:r>
      <w:bookmarkEnd w:id="46"/>
      <w:r>
        <w:rPr/>
        <w:t>: Atzerritarren tasaren bilakaera (%).</w:t>
        <w:br/>
        <w:t>Pasaia eta bere testuingurua, 2000-2025</w:t>
      </w:r>
      <w:bookmarkEnd w:id="45"/>
    </w:p>
    <w:p>
      <w:pPr>
        <w:pStyle w:val="Normal"/>
        <w:jc w:val="center"/>
        <w:rPr/>
      </w:pPr>
      <w:r>
        <w:rPr/>
        <w:drawing>
          <wp:inline distT="0" distB="0" distL="0" distR="0">
            <wp:extent cx="5154295" cy="3060065"/>
            <wp:effectExtent l="0" t="0" r="0" b="0"/>
            <wp:docPr id="8" name="Imagen3" descr="Hau duen irudia Lurrazala, testua, diagram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3" descr="Hau duen irudia Lurrazala, testua, diagrama, lerroa&#10;&#10;Baliteke AAk sortutako edukia zuzena ez izatea."/>
                    <pic:cNvPicPr>
                      <a:picLocks noChangeAspect="1" noChangeArrowheads="1"/>
                    </pic:cNvPicPr>
                  </pic:nvPicPr>
                  <pic:blipFill>
                    <a:blip r:embed="rId9"/>
                    <a:stretch>
                      <a:fillRect/>
                    </a:stretch>
                  </pic:blipFill>
                  <pic:spPr bwMode="auto">
                    <a:xfrm>
                      <a:off x="0" y="0"/>
                      <a:ext cx="5154295" cy="3060065"/>
                    </a:xfrm>
                    <a:prstGeom prst="rect">
                      <a:avLst/>
                    </a:prstGeom>
                  </pic:spPr>
                </pic:pic>
              </a:graphicData>
            </a:graphic>
          </wp:inline>
        </w:drawing>
      </w:r>
    </w:p>
    <w:p>
      <w:pPr>
        <w:pStyle w:val="Iturria"/>
        <w:rPr/>
      </w:pPr>
      <w:r>
        <w:rPr/>
        <w:t>Iturria: INE, Eustat eta errolda.</w:t>
      </w:r>
      <w:bookmarkStart w:id="47" w:name="_Ref176947627"/>
      <w:r>
        <w:br w:type="page"/>
      </w:r>
    </w:p>
    <w:p>
      <w:pPr>
        <w:pStyle w:val="Normal"/>
        <w:jc w:val="both"/>
        <w:rPr>
          <w:strike/>
        </w:rPr>
      </w:pPr>
      <w:r>
        <w:rPr/>
        <w:t xml:space="preserve">Gaur egungo biztanleriaren jatorriari dagokionez, beraz, Pasaian bizi diren pertsonen %20,7a Pasaian bertan jaio da (3.455 pertsona). Bestalde, gainerako jatorriari dagokionez, multzorik jendetsuena Donostialdean jaiotakoena da (6.996 pertsona, %41,2) eta hauen artean 397 dira Oarsoaldean jaiotakoak, biztanleria osoaren %2,4a besterik ez. Gainerako jatorriei erreparatuz Pasaiako 444  herritar Gipuzkoan jaio dira. Jaioterri nagusiak Donostia (6.523 pertsona), Errenteria (258 pertsona), Irun (113 pertsona), Lezo (72 pertsona) eta Oiartzun (67 pertsona) dira. Pasaiak Oarsoaldearekin eta, bereziki, Donostiarekin duen harremana indartsua da. Esan gabe doa Donostian jaiotako herritarren kopurua jaioberriak ospitalea dagoen udalerrian erregistratzeko joeraren ondorioa dela. EAEn jaiotakoak, aldiz, 191 pertsona bizi dira Pasaian eta horien ia hiru laurden (143 pertsona) bizkaitarrak dira (ikus </w:t>
      </w:r>
      <w:r>
        <w:rPr/>
        <w:fldChar w:fldCharType="begin"/>
      </w:r>
      <w:r>
        <w:rPr/>
        <w:instrText xml:space="preserve"> REF _Ref190431121 \h </w:instrText>
      </w:r>
      <w:r>
        <w:rPr/>
        <w:fldChar w:fldCharType="separate"/>
      </w:r>
      <w:r>
        <w:rPr/>
        <w:t>8. Grafikoa</w:t>
      </w:r>
      <w:r>
        <w:rPr/>
        <w:fldChar w:fldCharType="end"/>
      </w:r>
      <w:r>
        <w:rPr/>
        <w:t xml:space="preserve"> eta </w:t>
      </w:r>
      <w:r>
        <w:rPr/>
        <w:fldChar w:fldCharType="begin"/>
      </w:r>
      <w:r>
        <w:rPr/>
        <w:instrText xml:space="preserve"> REF _Ref176947513 \h </w:instrText>
      </w:r>
      <w:r>
        <w:rPr/>
        <w:fldChar w:fldCharType="separate"/>
      </w:r>
      <w:r>
        <w:rPr/>
        <w:t>6. Taula</w:t>
      </w:r>
      <w:r>
        <w:rPr/>
        <w:fldChar w:fldCharType="end"/>
      </w:r>
      <w:r>
        <w:rPr/>
        <w:t>).</w:t>
      </w:r>
    </w:p>
    <w:p>
      <w:pPr>
        <w:pStyle w:val="Normal"/>
        <w:jc w:val="both"/>
        <w:rPr/>
      </w:pPr>
      <w:r>
        <w:rPr/>
        <w:t xml:space="preserve">Bestalde, jatorrizko datu iturriak egiten duen lurralde sailkapenaren arabera (INE) 2.266 pertsona Estatuko eskualderen batean jaio dira, nagusiki, A Coruña (340 pertsona), Pontevedra (307 pertsona), Nafarroa (237 pertsona), Caceres (184 pertsona) eta Salamanca (159 pertsona). Kasu honetan, bi migrazio fenomeno desberdin bereizi behar dira: Pasaiak Nafarroa Garaiarekiko duen gertutasunaren ondorio dena batetik, eta 60ko eta 70ko hamarkadan lurraldeko industrializazio prozesuarekin batera jasotako immigrazioa, bestetik (ikus </w:t>
      </w:r>
      <w:r>
        <w:rPr/>
        <w:fldChar w:fldCharType="begin"/>
      </w:r>
      <w:r>
        <w:rPr/>
        <w:instrText xml:space="preserve"> REF _Ref190431121 \h </w:instrText>
      </w:r>
      <w:r>
        <w:rPr/>
        <w:fldChar w:fldCharType="separate"/>
      </w:r>
      <w:r>
        <w:rPr/>
        <w:t>8. Grafikoa</w:t>
      </w:r>
      <w:r>
        <w:rPr/>
        <w:fldChar w:fldCharType="end"/>
      </w:r>
      <w:r>
        <w:rPr/>
        <w:t xml:space="preserve"> eta </w:t>
      </w:r>
      <w:r>
        <w:rPr/>
        <w:fldChar w:fldCharType="begin"/>
      </w:r>
      <w:r>
        <w:rPr/>
        <w:instrText xml:space="preserve"> REF _Ref176947513 \h </w:instrText>
      </w:r>
      <w:r>
        <w:rPr/>
        <w:fldChar w:fldCharType="separate"/>
      </w:r>
      <w:r>
        <w:rPr/>
        <w:t>6. Taula</w:t>
      </w:r>
      <w:r>
        <w:rPr/>
        <w:fldChar w:fldCharType="end"/>
      </w:r>
      <w:r>
        <w:rPr/>
        <w:t>).</w:t>
      </w:r>
    </w:p>
    <w:p>
      <w:pPr>
        <w:pStyle w:val="Normal"/>
        <w:jc w:val="both"/>
        <w:rPr/>
      </w:pPr>
      <w:r>
        <w:rPr/>
        <w:t xml:space="preserve">Estatutik kanpo jaiotako biztanleei dagokionez (3.307 pertsona) gehienak amerikarrak dira (1.922 pertsona), jarraian europarrak (689 pertsona) eta afrikarrak (521 pertsona). Asian sortutakoak, berriz, 173 herritar dira, Ozeaniakoak, aldiz, 2 besterik ez. Datuak xeheago aztertzen badira, amerikarren artean Honduras (398 pertsona), Kolonbia (393 pertsona) eta Ekuador (140 pertsona) dira komunitate jendetsuenak. Europarrei dagokionez, berriz, portugaldarrak (291 pertsona) eta errumaniarrak (119 pertsona) dira nagusi. Afrikaren kasuan marokoarrak dira gehiengoa (298 pertsona) eta Asiaren kasuan pakistandarrak (62 pertsona) (ikus </w:t>
      </w:r>
      <w:r>
        <w:rPr/>
        <w:fldChar w:fldCharType="begin"/>
      </w:r>
      <w:r>
        <w:rPr/>
        <w:instrText xml:space="preserve"> REF _Ref190431121 \h </w:instrText>
      </w:r>
      <w:r>
        <w:rPr/>
        <w:fldChar w:fldCharType="separate"/>
      </w:r>
      <w:r>
        <w:rPr/>
        <w:t>8. Grafikoa</w:t>
      </w:r>
      <w:r>
        <w:rPr/>
        <w:fldChar w:fldCharType="end"/>
      </w:r>
      <w:r>
        <w:rPr/>
        <w:t xml:space="preserve"> eta </w:t>
      </w:r>
      <w:r>
        <w:rPr/>
        <w:fldChar w:fldCharType="begin"/>
      </w:r>
      <w:r>
        <w:rPr/>
        <w:instrText xml:space="preserve"> REF _Ref176947513 \h </w:instrText>
      </w:r>
      <w:r>
        <w:rPr/>
        <w:fldChar w:fldCharType="separate"/>
      </w:r>
      <w:r>
        <w:rPr/>
        <w:t>6. Taula</w:t>
      </w:r>
      <w:r>
        <w:rPr/>
        <w:fldChar w:fldCharType="end"/>
      </w:r>
      <w:r>
        <w:rPr/>
        <w:t>).</w:t>
      </w:r>
    </w:p>
    <w:p>
      <w:pPr>
        <w:pStyle w:val="Caption"/>
        <w:rPr/>
      </w:pPr>
      <w:bookmarkStart w:id="48" w:name="_Toc191031082"/>
      <w:bookmarkStart w:id="49" w:name="_Ref190431121"/>
      <w:r>
        <w:rPr/>
        <w:fldChar w:fldCharType="begin"/>
      </w:r>
      <w:r>
        <w:rPr/>
        <w:instrText xml:space="preserve"> SEQ Grafikoa \* ARABIC </w:instrText>
      </w:r>
      <w:r>
        <w:rPr/>
        <w:fldChar w:fldCharType="separate"/>
      </w:r>
      <w:r>
        <w:rPr/>
        <w:t>8</w:t>
      </w:r>
      <w:r>
        <w:rPr/>
        <w:fldChar w:fldCharType="end"/>
      </w:r>
      <w:r>
        <w:rPr/>
        <w:t>. Grafikoa</w:t>
      </w:r>
      <w:bookmarkEnd w:id="47"/>
      <w:bookmarkEnd w:id="49"/>
      <w:r>
        <w:rPr/>
        <w:t>: Biztanleriaren bilakaera jaioterriaren arabera (kop.).</w:t>
        <w:br/>
        <w:t>Pasaia, 2009-2025</w:t>
      </w:r>
      <w:bookmarkEnd w:id="48"/>
    </w:p>
    <w:p>
      <w:pPr>
        <w:pStyle w:val="Normal"/>
        <w:jc w:val="right"/>
        <w:rPr/>
      </w:pPr>
      <w:r>
        <w:rPr/>
        <w:drawing>
          <wp:inline distT="0" distB="0" distL="0" distR="0">
            <wp:extent cx="5390515" cy="3200400"/>
            <wp:effectExtent l="0" t="0" r="0" b="0"/>
            <wp:docPr id="9" name="Irudia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rudia 10" descr=""/>
                    <pic:cNvPicPr>
                      <a:picLocks noChangeAspect="1" noChangeArrowheads="1"/>
                    </pic:cNvPicPr>
                  </pic:nvPicPr>
                  <pic:blipFill>
                    <a:blip r:embed="rId10"/>
                    <a:stretch>
                      <a:fillRect/>
                    </a:stretch>
                  </pic:blipFill>
                  <pic:spPr bwMode="auto">
                    <a:xfrm>
                      <a:off x="0" y="0"/>
                      <a:ext cx="5390515" cy="3200400"/>
                    </a:xfrm>
                    <a:prstGeom prst="rect">
                      <a:avLst/>
                    </a:prstGeom>
                  </pic:spPr>
                </pic:pic>
              </a:graphicData>
            </a:graphic>
          </wp:inline>
        </w:drawing>
      </w:r>
    </w:p>
    <w:p>
      <w:pPr>
        <w:pStyle w:val="Iturria"/>
        <w:rPr/>
      </w:pPr>
      <w:r>
        <w:rPr/>
        <w:t xml:space="preserve"> </w:t>
      </w:r>
      <w:r>
        <w:rPr/>
        <w:t>Iturria: Errolda.</w:t>
      </w:r>
    </w:p>
    <w:p>
      <w:pPr>
        <w:pStyle w:val="Caption"/>
        <w:rPr/>
      </w:pPr>
      <w:bookmarkStart w:id="50" w:name="_Toc191031149"/>
      <w:bookmarkStart w:id="51" w:name="_Ref176947513"/>
      <w:r>
        <w:rPr/>
        <w:fldChar w:fldCharType="begin"/>
      </w:r>
      <w:r>
        <w:rPr/>
        <w:instrText xml:space="preserve"> SEQ Taula \* ARABIC </w:instrText>
      </w:r>
      <w:r>
        <w:rPr/>
        <w:fldChar w:fldCharType="separate"/>
      </w:r>
      <w:r>
        <w:rPr/>
        <w:t>6</w:t>
      </w:r>
      <w:r>
        <w:rPr/>
        <w:fldChar w:fldCharType="end"/>
      </w:r>
      <w:r>
        <w:rPr/>
        <w:t>. Taula</w:t>
      </w:r>
      <w:bookmarkEnd w:id="51"/>
      <w:r>
        <w:rPr/>
        <w:t>: Biztanleriaren bilakaera jaioterriaren arabera (kop.).</w:t>
        <w:br/>
        <w:t>Pasaia, 2009-2025</w:t>
      </w:r>
      <w:bookmarkEnd w:id="50"/>
    </w:p>
    <w:tbl>
      <w:tblPr>
        <w:tblW w:w="588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33"/>
        <w:gridCol w:w="931"/>
        <w:gridCol w:w="931"/>
        <w:gridCol w:w="930"/>
        <w:gridCol w:w="931"/>
        <w:gridCol w:w="930"/>
      </w:tblGrid>
      <w:tr>
        <w:trPr>
          <w:trHeight w:val="300" w:hRule="atLeast"/>
        </w:trPr>
        <w:tc>
          <w:tcPr>
            <w:tcW w:w="12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3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3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3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3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0"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3.788</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3.819</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3.794</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3.647</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3.455</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407</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390</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413</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404</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397</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6.258</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6.378</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6.663</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6.641</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6.599</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505</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476</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473</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447</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444</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269</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240</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239</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191</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Espainia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3.387</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3.103</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2.846</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2.548</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2.266</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Europa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662</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633</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616</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701</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689</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Amerika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476</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571</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786</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1.243</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1.922</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Afrika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160</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190</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321</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385</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521</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Asia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42</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59</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118</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173</w:t>
            </w:r>
          </w:p>
        </w:tc>
      </w:tr>
      <w:tr>
        <w:trPr>
          <w:trHeight w:val="300" w:hRule="atLeast"/>
        </w:trPr>
        <w:tc>
          <w:tcPr>
            <w:tcW w:w="12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Ozeania</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93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93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r>
      <w:tr>
        <w:trPr>
          <w:trHeight w:val="300" w:hRule="atLeast"/>
        </w:trPr>
        <w:tc>
          <w:tcPr>
            <w:tcW w:w="1233"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15.958</w:t>
            </w:r>
          </w:p>
        </w:tc>
        <w:tc>
          <w:tcPr>
            <w:tcW w:w="93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15.862</w:t>
            </w:r>
          </w:p>
        </w:tc>
        <w:tc>
          <w:tcPr>
            <w:tcW w:w="93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16.229</w:t>
            </w:r>
          </w:p>
        </w:tc>
        <w:tc>
          <w:tcPr>
            <w:tcW w:w="93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16.354</w:t>
            </w:r>
          </w:p>
        </w:tc>
        <w:tc>
          <w:tcPr>
            <w:tcW w:w="930"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rPr/>
      </w:pPr>
      <w:r>
        <w:rPr/>
        <w:t>Iturria: Errolda.</w:t>
      </w:r>
    </w:p>
    <w:p>
      <w:pPr>
        <w:pStyle w:val="Normal"/>
        <w:jc w:val="both"/>
        <w:rPr/>
      </w:pPr>
      <w:r>
        <w:rPr/>
        <w:t xml:space="preserve">Demografiari barrutiz barruti erreparatuz biztanleria horrela banatzen da: Antxo (5.369 pertsona), Donibane (2.185 pertsona), San Pedro (3.063 pertsona) eta Trintxerpe (6.042 pertsona). Bero mapan ikusten denez, Trintxerpek biztanle gehiago izan arren, Antxok du dentsitate handiena bere azaleran (ikus </w:t>
      </w:r>
      <w:r>
        <w:rPr/>
        <w:fldChar w:fldCharType="begin"/>
      </w:r>
      <w:r>
        <w:rPr/>
        <w:instrText xml:space="preserve"> REF _Ref176947862 \h </w:instrText>
      </w:r>
      <w:r>
        <w:rPr/>
        <w:fldChar w:fldCharType="separate"/>
      </w:r>
      <w:r>
        <w:rPr/>
        <w:t>7. Taula</w:t>
      </w:r>
      <w:r>
        <w:rPr/>
        <w:fldChar w:fldCharType="end"/>
      </w:r>
      <w:r>
        <w:rPr/>
        <w:t xml:space="preserve"> eta </w:t>
      </w:r>
      <w:r>
        <w:rPr/>
        <w:fldChar w:fldCharType="begin"/>
      </w:r>
      <w:r>
        <w:rPr/>
        <w:instrText xml:space="preserve"> REF _Ref176947872 \h </w:instrText>
      </w:r>
      <w:r>
        <w:rPr/>
        <w:fldChar w:fldCharType="separate"/>
      </w:r>
      <w:r>
        <w:rPr/>
        <w:t>1. Irudia</w:t>
      </w:r>
      <w:r>
        <w:rPr/>
        <w:fldChar w:fldCharType="end"/>
      </w:r>
      <w:r>
        <w:rPr/>
        <w:t>).</w:t>
      </w:r>
    </w:p>
    <w:p>
      <w:pPr>
        <w:pStyle w:val="Caption"/>
        <w:rPr/>
      </w:pPr>
      <w:bookmarkStart w:id="52" w:name="_Toc191031191"/>
      <w:bookmarkStart w:id="53" w:name="_Ref176947872"/>
      <w:r>
        <w:rPr/>
        <w:fldChar w:fldCharType="begin"/>
      </w:r>
      <w:r>
        <w:rPr/>
        <w:instrText xml:space="preserve"> SEQ Irudia \* ARABIC </w:instrText>
      </w:r>
      <w:r>
        <w:rPr/>
        <w:fldChar w:fldCharType="separate"/>
      </w:r>
      <w:r>
        <w:rPr/>
        <w:t>1</w:t>
      </w:r>
      <w:r>
        <w:rPr/>
        <w:fldChar w:fldCharType="end"/>
      </w:r>
      <w:r>
        <w:rPr/>
        <w:t>. Irudia</w:t>
      </w:r>
      <w:bookmarkEnd w:id="53"/>
      <w:r>
        <w:rPr/>
        <w:t>: Biztanleriaren bero mapa.</w:t>
        <w:br/>
        <w:t>Pasaia , 2025</w:t>
      </w:r>
      <w:bookmarkEnd w:id="52"/>
    </w:p>
    <w:p>
      <w:pPr>
        <w:pStyle w:val="Normal"/>
        <w:rPr>
          <w:highlight w:val="red"/>
        </w:rPr>
      </w:pPr>
      <w:r>
        <w:rPr/>
        <w:drawing>
          <wp:inline distT="0" distB="0" distL="0" distR="0">
            <wp:extent cx="5400040" cy="3816350"/>
            <wp:effectExtent l="0" t="0" r="0" b="0"/>
            <wp:docPr id="10" name="Irudia 2" descr="Hau duen irudia testua, map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rudia 2" descr="Hau duen irudia testua, mapa&#10;&#10;Azalpena automatikoki sortu da"/>
                    <pic:cNvPicPr>
                      <a:picLocks noChangeAspect="1" noChangeArrowheads="1"/>
                    </pic:cNvPicPr>
                  </pic:nvPicPr>
                  <pic:blipFill>
                    <a:blip r:embed="rId11"/>
                    <a:stretch>
                      <a:fillRect/>
                    </a:stretch>
                  </pic:blipFill>
                  <pic:spPr bwMode="auto">
                    <a:xfrm>
                      <a:off x="0" y="0"/>
                      <a:ext cx="5400040" cy="3816350"/>
                    </a:xfrm>
                    <a:prstGeom prst="rect">
                      <a:avLst/>
                    </a:prstGeom>
                  </pic:spPr>
                </pic:pic>
              </a:graphicData>
            </a:graphic>
          </wp:inline>
        </w:drawing>
      </w:r>
    </w:p>
    <w:p>
      <w:pPr>
        <w:pStyle w:val="Iturria"/>
        <w:rPr/>
      </w:pPr>
      <w:r>
        <w:rPr/>
        <w:t>Iturria: errolda.</w:t>
      </w:r>
    </w:p>
    <w:p>
      <w:pPr>
        <w:pStyle w:val="Normal"/>
        <w:jc w:val="both"/>
        <w:rPr/>
      </w:pPr>
      <w:r>
        <w:rPr/>
        <w:t xml:space="preserve">Distritu bakoitzak, ordea, berezko  ezaugarri batzuk ditu. Donibane eta San Pedro dira zahartze-tasa handiena dutenak (%25,9 eta %23,3, hurrenez hurren), nahiz eta alde txikia den Antxo eta Txintxerperekin alderatuz (%21,1 eta %21,8, hurrenez hurren). Antzeman daiteke biztanleria galdu duten San Pedro eta Donibane, bereziki, direla entitate zahartuenak (ikus </w:t>
      </w:r>
      <w:r>
        <w:rPr/>
        <w:fldChar w:fldCharType="begin"/>
      </w:r>
      <w:r>
        <w:rPr/>
        <w:instrText xml:space="preserve"> REF _Ref190432194 \h </w:instrText>
      </w:r>
      <w:r>
        <w:rPr/>
        <w:fldChar w:fldCharType="separate"/>
      </w:r>
      <w:r>
        <w:rPr/>
        <w:t>9. Grafikoa</w:t>
      </w:r>
      <w:r>
        <w:rPr/>
        <w:fldChar w:fldCharType="end"/>
      </w:r>
      <w:r>
        <w:rPr/>
        <w:t xml:space="preserve"> eta </w:t>
      </w:r>
      <w:r>
        <w:rPr/>
        <w:fldChar w:fldCharType="begin"/>
      </w:r>
      <w:r>
        <w:rPr/>
        <w:instrText xml:space="preserve"> REF _Ref176947862 \h </w:instrText>
      </w:r>
      <w:r>
        <w:rPr/>
        <w:fldChar w:fldCharType="separate"/>
      </w:r>
      <w:r>
        <w:rPr/>
        <w:t>7. Taula</w:t>
      </w:r>
      <w:r>
        <w:rPr/>
        <w:fldChar w:fldCharType="end"/>
      </w:r>
      <w:r>
        <w:rPr/>
        <w:t>).</w:t>
      </w:r>
    </w:p>
    <w:p>
      <w:pPr>
        <w:pStyle w:val="Caption"/>
        <w:rPr/>
      </w:pPr>
      <w:bookmarkStart w:id="54" w:name="_Toc191031083"/>
      <w:bookmarkStart w:id="55" w:name="_Ref190432194"/>
      <w:r>
        <w:rPr/>
        <w:fldChar w:fldCharType="begin"/>
      </w:r>
      <w:r>
        <w:rPr/>
        <w:instrText xml:space="preserve"> SEQ Grafikoa \* ARABIC </w:instrText>
      </w:r>
      <w:r>
        <w:rPr/>
        <w:fldChar w:fldCharType="separate"/>
      </w:r>
      <w:r>
        <w:rPr/>
        <w:t>9</w:t>
      </w:r>
      <w:r>
        <w:rPr/>
        <w:fldChar w:fldCharType="end"/>
      </w:r>
      <w:r>
        <w:rPr/>
        <w:t>. Grafikoa</w:t>
      </w:r>
      <w:bookmarkEnd w:id="55"/>
      <w:r>
        <w:rPr/>
        <w:t>: Zahartze tasa barrutiaren arabera (%).</w:t>
        <w:br/>
        <w:t>Pasaia eta bere barrutiak, 2025</w:t>
      </w:r>
      <w:bookmarkEnd w:id="54"/>
    </w:p>
    <w:p>
      <w:pPr>
        <w:pStyle w:val="Iturria"/>
        <w:rPr/>
      </w:pPr>
      <w:r>
        <w:rPr/>
        <w:drawing>
          <wp:inline distT="0" distB="0" distL="0" distR="0">
            <wp:extent cx="5400040" cy="3203575"/>
            <wp:effectExtent l="0" t="0" r="0" b="0"/>
            <wp:docPr id="11" name="Imagen4" descr="Hau duen irudia testua, pantaila-argazkia, Bataiarri, zenbaki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4" descr="Hau duen irudia testua, pantaila-argazkia, Bataiarri, zenbakia&#10;&#10;Azalpena automatikoki sortu da"/>
                    <pic:cNvPicPr>
                      <a:picLocks noChangeAspect="1" noChangeArrowheads="1"/>
                    </pic:cNvPicPr>
                  </pic:nvPicPr>
                  <pic:blipFill>
                    <a:blip r:embed="rId12"/>
                    <a:stretch>
                      <a:fillRect/>
                    </a:stretch>
                  </pic:blipFill>
                  <pic:spPr bwMode="auto">
                    <a:xfrm>
                      <a:off x="0" y="0"/>
                      <a:ext cx="5400040" cy="3203575"/>
                    </a:xfrm>
                    <a:prstGeom prst="rect">
                      <a:avLst/>
                    </a:prstGeom>
                  </pic:spPr>
                </pic:pic>
              </a:graphicData>
            </a:graphic>
          </wp:inline>
        </w:drawing>
      </w:r>
      <w:r>
        <w:rPr/>
        <w:t xml:space="preserve"> </w:t>
      </w:r>
      <w:r>
        <w:rPr/>
        <w:t>Iturria: Errolda.</w:t>
      </w:r>
    </w:p>
    <w:p>
      <w:pPr>
        <w:pStyle w:val="Iturria"/>
        <w:rPr/>
      </w:pPr>
      <w:r>
        <w:rPr/>
      </w:r>
    </w:p>
    <w:p>
      <w:pPr>
        <w:pStyle w:val="Caption"/>
        <w:rPr/>
      </w:pPr>
      <w:bookmarkStart w:id="56" w:name="_Toc191031150"/>
      <w:bookmarkStart w:id="57" w:name="_Ref176947862"/>
      <w:r>
        <w:rPr/>
        <w:fldChar w:fldCharType="begin"/>
      </w:r>
      <w:r>
        <w:rPr/>
        <w:instrText xml:space="preserve"> SEQ Taula \* ARABIC </w:instrText>
      </w:r>
      <w:r>
        <w:rPr/>
        <w:fldChar w:fldCharType="separate"/>
      </w:r>
      <w:r>
        <w:rPr/>
        <w:t>7</w:t>
      </w:r>
      <w:r>
        <w:rPr/>
        <w:fldChar w:fldCharType="end"/>
      </w:r>
      <w:r>
        <w:rPr/>
        <w:t>. Taula</w:t>
      </w:r>
      <w:bookmarkEnd w:id="57"/>
      <w:r>
        <w:rPr/>
        <w:t>: Biztanleria adinaren eta barrutiaren arabera (kop.).</w:t>
        <w:br/>
        <w:t>Pasaia eta bere barrutiak, 2025</w:t>
      </w:r>
      <w:bookmarkEnd w:id="56"/>
    </w:p>
    <w:tbl>
      <w:tblPr>
        <w:tblW w:w="893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050"/>
        <w:gridCol w:w="1077"/>
        <w:gridCol w:w="1133"/>
        <w:gridCol w:w="1134"/>
        <w:gridCol w:w="1135"/>
        <w:gridCol w:w="1134"/>
        <w:gridCol w:w="1133"/>
        <w:gridCol w:w="1134"/>
      </w:tblGrid>
      <w:tr>
        <w:trPr>
          <w:trHeight w:val="300" w:hRule="atLeast"/>
        </w:trPr>
        <w:tc>
          <w:tcPr>
            <w:tcW w:w="10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07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0-19 urte</w:t>
            </w:r>
          </w:p>
        </w:tc>
        <w:tc>
          <w:tcPr>
            <w:tcW w:w="11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20-34 urte</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35-49 urte</w:t>
            </w:r>
          </w:p>
        </w:tc>
        <w:tc>
          <w:tcPr>
            <w:tcW w:w="11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50-64 urte</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65-79 urte</w:t>
            </w:r>
          </w:p>
        </w:tc>
        <w:tc>
          <w:tcPr>
            <w:tcW w:w="11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80 urte</w:t>
            </w:r>
          </w:p>
        </w:tc>
        <w:tc>
          <w:tcPr>
            <w:tcW w:w="11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0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943</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936</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1.090</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1.267</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731</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402</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5.369</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0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354</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341</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374</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550</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366</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200</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2.185</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0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515</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437</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694</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702</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458</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257</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3.063</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0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944</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1.057</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1.196</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1.529</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857</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459</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6.042</w:t>
            </w:r>
          </w:p>
        </w:tc>
      </w:tr>
      <w:tr>
        <w:trPr>
          <w:trHeight w:val="300" w:hRule="atLeast"/>
        </w:trPr>
        <w:tc>
          <w:tcPr>
            <w:tcW w:w="1050"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07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2.756</w:t>
            </w:r>
          </w:p>
        </w:tc>
        <w:tc>
          <w:tcPr>
            <w:tcW w:w="11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2.771</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3.354</w:t>
            </w:r>
          </w:p>
        </w:tc>
        <w:tc>
          <w:tcPr>
            <w:tcW w:w="11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4.048</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2.412</w:t>
            </w:r>
          </w:p>
        </w:tc>
        <w:tc>
          <w:tcPr>
            <w:tcW w:w="11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1.318</w:t>
            </w:r>
          </w:p>
        </w:tc>
        <w:tc>
          <w:tcPr>
            <w:tcW w:w="11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rPr/>
      </w:pPr>
      <w:r>
        <w:rPr/>
        <w:t>Iturria: Errolda.</w:t>
      </w:r>
    </w:p>
    <w:p>
      <w:pPr>
        <w:pStyle w:val="Normal"/>
        <w:jc w:val="both"/>
        <w:rPr/>
      </w:pPr>
      <w:r>
        <w:rPr/>
        <w:t xml:space="preserve">Atzerritarren tasarekin joera antzekoa da, San Pedro eta Donibane dira proportzio apalena dutenak (%15,1 eta %14,3, hurrenez hurren) eta Trintxerpe eta Antxo proportzio handienekoak (%22,4 eta %21,9 hurrenez hurren), kasu honetan, ordea, adin taldeekin baino handiagoa da aldea. Hau da, estatutik kanpo jaiotako biztanle gehien duten barrutiak dira gazteenak eta gutxien dutenak zahartuenak (ikus </w:t>
      </w:r>
      <w:r>
        <w:rPr/>
        <w:fldChar w:fldCharType="begin"/>
      </w:r>
      <w:r>
        <w:rPr/>
        <w:instrText xml:space="preserve"> REF _Ref190432244 \h </w:instrText>
      </w:r>
      <w:r>
        <w:rPr/>
        <w:fldChar w:fldCharType="separate"/>
      </w:r>
      <w:r>
        <w:rPr/>
        <w:t>10. Grafikoa</w:t>
      </w:r>
      <w:r>
        <w:rPr/>
        <w:fldChar w:fldCharType="end"/>
      </w:r>
      <w:r>
        <w:rPr/>
        <w:t xml:space="preserve">, </w:t>
      </w:r>
      <w:r>
        <w:rPr/>
        <w:fldChar w:fldCharType="begin"/>
      </w:r>
      <w:r>
        <w:rPr/>
        <w:instrText xml:space="preserve"> REF _Ref190432251 \h </w:instrText>
      </w:r>
      <w:r>
        <w:rPr/>
        <w:fldChar w:fldCharType="separate"/>
      </w:r>
      <w:r>
        <w:rPr/>
        <w:t>11. Grafikoa</w:t>
      </w:r>
      <w:r>
        <w:rPr/>
        <w:fldChar w:fldCharType="end"/>
      </w:r>
      <w:r>
        <w:rPr/>
        <w:t xml:space="preserve"> eta </w:t>
      </w:r>
      <w:r>
        <w:rPr/>
        <w:fldChar w:fldCharType="begin"/>
      </w:r>
      <w:r>
        <w:rPr/>
        <w:instrText xml:space="preserve"> REF _Ref190432272 \h </w:instrText>
      </w:r>
      <w:r>
        <w:rPr/>
        <w:fldChar w:fldCharType="separate"/>
      </w:r>
      <w:r>
        <w:rPr/>
        <w:t>8. Taula</w:t>
      </w:r>
      <w:r>
        <w:rPr/>
        <w:fldChar w:fldCharType="end"/>
      </w:r>
      <w:r>
        <w:rPr/>
        <w:t>).</w:t>
      </w:r>
    </w:p>
    <w:p>
      <w:pPr>
        <w:pStyle w:val="Normal"/>
        <w:jc w:val="both"/>
        <w:rPr/>
      </w:pPr>
      <w:r>
        <w:rPr/>
      </w:r>
    </w:p>
    <w:p>
      <w:pPr>
        <w:pStyle w:val="Iturria"/>
        <w:rPr/>
      </w:pPr>
      <w:r>
        <w:rPr/>
      </w:r>
    </w:p>
    <w:p>
      <w:pPr>
        <w:pStyle w:val="Iturria"/>
        <w:rPr/>
      </w:pPr>
      <w:r>
        <w:rPr/>
      </w:r>
    </w:p>
    <w:p>
      <w:pPr>
        <w:pStyle w:val="Caption"/>
        <w:rPr/>
      </w:pPr>
      <w:bookmarkStart w:id="58" w:name="_Toc191031084"/>
      <w:bookmarkStart w:id="59" w:name="_Ref190432244"/>
      <w:r>
        <w:rPr/>
        <w:fldChar w:fldCharType="begin"/>
      </w:r>
      <w:r>
        <w:rPr/>
        <w:instrText xml:space="preserve"> SEQ Grafikoa \* ARABIC </w:instrText>
      </w:r>
      <w:r>
        <w:rPr/>
        <w:fldChar w:fldCharType="separate"/>
      </w:r>
      <w:r>
        <w:rPr/>
        <w:t>10</w:t>
      </w:r>
      <w:r>
        <w:rPr/>
        <w:fldChar w:fldCharType="end"/>
      </w:r>
      <w:r>
        <w:rPr/>
        <w:t>. Grafikoa</w:t>
      </w:r>
      <w:bookmarkEnd w:id="59"/>
      <w:r>
        <w:rPr/>
        <w:t>: Atzerritarren tasaren bilakaera (%).</w:t>
        <w:br/>
        <w:t>Pasaia eta bere barrutiak, 2009-2025</w:t>
      </w:r>
      <w:bookmarkEnd w:id="58"/>
    </w:p>
    <w:p>
      <w:pPr>
        <w:pStyle w:val="Normal"/>
        <w:rPr/>
      </w:pPr>
      <w:r>
        <w:rPr/>
        <w:drawing>
          <wp:inline distT="0" distB="0" distL="0" distR="0">
            <wp:extent cx="5390515" cy="3200400"/>
            <wp:effectExtent l="0" t="0" r="0" b="0"/>
            <wp:docPr id="12" name="Irudia 9" descr="Hau duen irudia Lurrazala, pantaila-argazkia, testu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rudia 9" descr="Hau duen irudia Lurrazala, pantaila-argazkia, testua, diagrama&#10;&#10;Azalpena automatikoki sortu da"/>
                    <pic:cNvPicPr>
                      <a:picLocks noChangeAspect="1" noChangeArrowheads="1"/>
                    </pic:cNvPicPr>
                  </pic:nvPicPr>
                  <pic:blipFill>
                    <a:blip r:embed="rId13"/>
                    <a:stretch>
                      <a:fillRect/>
                    </a:stretch>
                  </pic:blipFill>
                  <pic:spPr bwMode="auto">
                    <a:xfrm>
                      <a:off x="0" y="0"/>
                      <a:ext cx="5390515" cy="3200400"/>
                    </a:xfrm>
                    <a:prstGeom prst="rect">
                      <a:avLst/>
                    </a:prstGeom>
                  </pic:spPr>
                </pic:pic>
              </a:graphicData>
            </a:graphic>
          </wp:inline>
        </w:drawing>
      </w:r>
    </w:p>
    <w:p>
      <w:pPr>
        <w:pStyle w:val="Iturria"/>
        <w:rPr/>
      </w:pPr>
      <w:r>
        <w:rPr/>
        <w:t>Iturria: errolda.</w:t>
      </w:r>
    </w:p>
    <w:p>
      <w:pPr>
        <w:pStyle w:val="Iturria"/>
        <w:rPr/>
      </w:pPr>
      <w:r>
        <w:rPr/>
      </w:r>
    </w:p>
    <w:p>
      <w:pPr>
        <w:pStyle w:val="Caption"/>
        <w:rPr/>
      </w:pPr>
      <w:bookmarkStart w:id="60" w:name="_Toc191031085"/>
      <w:bookmarkStart w:id="61" w:name="_Ref190432251"/>
      <w:r>
        <w:rPr/>
        <w:fldChar w:fldCharType="begin"/>
      </w:r>
      <w:r>
        <w:rPr/>
        <w:instrText xml:space="preserve"> SEQ Grafikoa \* ARABIC </w:instrText>
      </w:r>
      <w:r>
        <w:rPr/>
        <w:fldChar w:fldCharType="separate"/>
      </w:r>
      <w:r>
        <w:rPr/>
        <w:t>11</w:t>
      </w:r>
      <w:r>
        <w:rPr/>
        <w:fldChar w:fldCharType="end"/>
      </w:r>
      <w:r>
        <w:rPr/>
        <w:t>. Grafikoa</w:t>
      </w:r>
      <w:bookmarkEnd w:id="61"/>
      <w:r>
        <w:rPr/>
        <w:t>: Atzerritarren tasa barrutiaren arabera (%).</w:t>
        <w:br/>
        <w:t>Pasaia eta bere barrutiak, 2025</w:t>
      </w:r>
      <w:bookmarkEnd w:id="60"/>
    </w:p>
    <w:p>
      <w:pPr>
        <w:pStyle w:val="Iturria"/>
        <w:rPr/>
      </w:pPr>
      <w:r>
        <w:rPr/>
        <w:drawing>
          <wp:inline distT="0" distB="0" distL="0" distR="0">
            <wp:extent cx="5390515" cy="3200400"/>
            <wp:effectExtent l="0" t="0" r="0" b="0"/>
            <wp:docPr id="13" name="Imagen5" descr="Hau duen irudia testua, pantaila-argazkia, diagram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5" descr="Hau duen irudia testua, pantaila-argazkia, diagrama, lerroa&#10;&#10;Azalpena automatikoki sortu da"/>
                    <pic:cNvPicPr>
                      <a:picLocks noChangeAspect="1" noChangeArrowheads="1"/>
                    </pic:cNvPicPr>
                  </pic:nvPicPr>
                  <pic:blipFill>
                    <a:blip r:embed="rId14"/>
                    <a:stretch>
                      <a:fillRect/>
                    </a:stretch>
                  </pic:blipFill>
                  <pic:spPr bwMode="auto">
                    <a:xfrm>
                      <a:off x="0" y="0"/>
                      <a:ext cx="5390515" cy="3200400"/>
                    </a:xfrm>
                    <a:prstGeom prst="rect">
                      <a:avLst/>
                    </a:prstGeom>
                  </pic:spPr>
                </pic:pic>
              </a:graphicData>
            </a:graphic>
          </wp:inline>
        </w:drawing>
      </w:r>
      <w:r>
        <w:rPr/>
        <w:t xml:space="preserve"> </w:t>
      </w:r>
      <w:r>
        <w:rPr/>
        <w:t>Iturria: Errolda.</w:t>
      </w:r>
    </w:p>
    <w:p>
      <w:pPr>
        <w:pStyle w:val="Iturria"/>
        <w:rPr/>
      </w:pPr>
      <w:r>
        <w:rPr/>
      </w:r>
    </w:p>
    <w:p>
      <w:pPr>
        <w:pStyle w:val="Iturria"/>
        <w:rPr/>
      </w:pPr>
      <w:r>
        <w:rPr/>
      </w:r>
    </w:p>
    <w:p>
      <w:pPr>
        <w:pStyle w:val="Normal"/>
        <w:rPr/>
      </w:pPr>
      <w:r>
        <w:rPr/>
      </w:r>
    </w:p>
    <w:p>
      <w:pPr>
        <w:pStyle w:val="Caption"/>
        <w:rPr/>
      </w:pPr>
      <w:bookmarkStart w:id="62" w:name="_Toc191031151"/>
      <w:bookmarkStart w:id="63" w:name="_Ref190432272"/>
      <w:r>
        <w:rPr/>
        <w:fldChar w:fldCharType="begin"/>
      </w:r>
      <w:r>
        <w:rPr/>
        <w:instrText xml:space="preserve"> SEQ Taula \* ARABIC </w:instrText>
      </w:r>
      <w:r>
        <w:rPr/>
        <w:fldChar w:fldCharType="separate"/>
      </w:r>
      <w:r>
        <w:rPr/>
        <w:t>8</w:t>
      </w:r>
      <w:r>
        <w:rPr/>
        <w:fldChar w:fldCharType="end"/>
      </w:r>
      <w:r>
        <w:rPr/>
        <w:t>. Taula</w:t>
      </w:r>
      <w:bookmarkEnd w:id="63"/>
      <w:r>
        <w:rPr/>
        <w:t>: Biztanleria jatorriaren eta barrutiaren arabera (kop.).</w:t>
        <w:br/>
        <w:t>Pasaia eta bere barrutiak, 2025</w:t>
      </w:r>
      <w:bookmarkEnd w:id="62"/>
    </w:p>
    <w:tbl>
      <w:tblPr>
        <w:tblW w:w="779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92"/>
        <w:gridCol w:w="1076"/>
        <w:gridCol w:w="1134"/>
        <w:gridCol w:w="1135"/>
        <w:gridCol w:w="1133"/>
        <w:gridCol w:w="1135"/>
        <w:gridCol w:w="991"/>
      </w:tblGrid>
      <w:tr>
        <w:trPr>
          <w:trHeight w:val="300" w:hRule="atLeast"/>
        </w:trPr>
        <w:tc>
          <w:tcPr>
            <w:tcW w:w="119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07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Pasaia</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Gipuzkoa</w:t>
            </w:r>
          </w:p>
        </w:tc>
        <w:tc>
          <w:tcPr>
            <w:tcW w:w="11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EAE</w:t>
            </w:r>
          </w:p>
        </w:tc>
        <w:tc>
          <w:tcPr>
            <w:tcW w:w="11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Espainia</w:t>
            </w:r>
          </w:p>
        </w:tc>
        <w:tc>
          <w:tcPr>
            <w:tcW w:w="11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Estatutik kanpo</w:t>
            </w:r>
          </w:p>
        </w:tc>
        <w:tc>
          <w:tcPr>
            <w:tcW w:w="991"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19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0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741</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2.765</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626</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1.177</w:t>
            </w:r>
          </w:p>
        </w:tc>
        <w:tc>
          <w:tcPr>
            <w:tcW w:w="99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5.369</w:t>
            </w:r>
          </w:p>
        </w:tc>
      </w:tr>
      <w:tr>
        <w:trPr>
          <w:trHeight w:val="300" w:hRule="atLeast"/>
        </w:trPr>
        <w:tc>
          <w:tcPr>
            <w:tcW w:w="119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0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866</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770</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313</w:t>
            </w:r>
          </w:p>
        </w:tc>
        <w:tc>
          <w:tcPr>
            <w:tcW w:w="99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2.185</w:t>
            </w:r>
          </w:p>
        </w:tc>
      </w:tr>
      <w:tr>
        <w:trPr>
          <w:trHeight w:val="300" w:hRule="atLeast"/>
        </w:trPr>
        <w:tc>
          <w:tcPr>
            <w:tcW w:w="119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0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789</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1.343</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434</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464</w:t>
            </w:r>
          </w:p>
        </w:tc>
        <w:tc>
          <w:tcPr>
            <w:tcW w:w="99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3.063</w:t>
            </w:r>
          </w:p>
        </w:tc>
      </w:tr>
      <w:tr>
        <w:trPr>
          <w:trHeight w:val="300" w:hRule="atLeast"/>
        </w:trPr>
        <w:tc>
          <w:tcPr>
            <w:tcW w:w="119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0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1.059</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2.562</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1.002</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1.353</w:t>
            </w:r>
          </w:p>
        </w:tc>
        <w:tc>
          <w:tcPr>
            <w:tcW w:w="99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6.042</w:t>
            </w:r>
          </w:p>
        </w:tc>
      </w:tr>
      <w:tr>
        <w:trPr>
          <w:trHeight w:val="300" w:hRule="atLeast"/>
        </w:trPr>
        <w:tc>
          <w:tcPr>
            <w:tcW w:w="1192"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07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3.455</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7.440</w:t>
            </w:r>
          </w:p>
        </w:tc>
        <w:tc>
          <w:tcPr>
            <w:tcW w:w="11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191</w:t>
            </w:r>
          </w:p>
        </w:tc>
        <w:tc>
          <w:tcPr>
            <w:tcW w:w="11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2.266</w:t>
            </w:r>
          </w:p>
        </w:tc>
        <w:tc>
          <w:tcPr>
            <w:tcW w:w="11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3.307</w:t>
            </w:r>
          </w:p>
        </w:tc>
        <w:tc>
          <w:tcPr>
            <w:tcW w:w="991"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r>
    </w:tbl>
    <w:p>
      <w:pPr>
        <w:pStyle w:val="Iturria"/>
        <w:rPr/>
      </w:pPr>
      <w:r>
        <w:rPr/>
        <w:t>Iturria: Errolda.</w:t>
      </w:r>
    </w:p>
    <w:p>
      <w:pPr>
        <w:pStyle w:val="Iturria"/>
        <w:rPr/>
      </w:pPr>
      <w:r>
        <w:rPr/>
      </w:r>
    </w:p>
    <w:p>
      <w:pPr>
        <w:pStyle w:val="Iturria"/>
        <w:rPr/>
      </w:pPr>
      <w:r>
        <w:rPr/>
      </w:r>
    </w:p>
    <w:p>
      <w:pPr>
        <w:pStyle w:val="Normal"/>
        <w:rPr/>
      </w:pPr>
      <w:r>
        <w:rPr/>
      </w:r>
    </w:p>
    <w:p>
      <w:pPr>
        <w:pStyle w:val="Normal"/>
        <w:rPr/>
      </w:pPr>
      <w:r>
        <w:rPr/>
      </w:r>
      <w:r>
        <w:br w:type="page"/>
      </w:r>
    </w:p>
    <w:p>
      <w:pPr>
        <w:pStyle w:val="Ttulo2"/>
        <w:rPr/>
      </w:pPr>
      <w:bookmarkStart w:id="64" w:name="_Toc191031042"/>
      <w:r>
        <w:rPr/>
        <w:t>Biztanleriaren mugimendua</w:t>
      </w:r>
      <w:bookmarkEnd w:id="64"/>
    </w:p>
    <w:p>
      <w:pPr>
        <w:pStyle w:val="Normal"/>
        <w:jc w:val="both"/>
        <w:rPr/>
      </w:pPr>
      <w:r>
        <w:rPr/>
        <w:t>Pasaiako biztanleria-mugimendua aztertzeko 2000tik 2024ra bitarteko datuak baliatu dira bi iturri desberdin batuz: 2000-2008 eperako Eustaten datuak, batetik, eta 2009-2024 eperako udalerriko erroldan immigrazioagatik egon diren altak eta emigrazioagatik egon diren bajak, bestetik. Ondorioz, alta eta bajak 2009 urtetik aurrera aztertu daitezke xehetasunez.</w:t>
      </w:r>
    </w:p>
    <w:p>
      <w:pPr>
        <w:pStyle w:val="Normal"/>
        <w:jc w:val="both"/>
        <w:rPr/>
      </w:pPr>
      <w:r>
        <w:rPr/>
        <w:t xml:space="preserve">Nolanahi ere, 2000-2024 urteen bitartean Pasaiak 871 pertsonako migrazio saldo positiboa izan du: 22.036 alta eta 21.165 baja. Alta eta baja kopuruak urtez urte handituz joan da, baina bi periodo argi bereizi daitezke. 2000-2012 urteen bitartean, oro har, bajak altak baino gehiago izan dira (712 pertsonako migrazio saldo negatiboa). 2013-2024 urteen bitartean, berriz, altak bajak baino nabarmen handiagoak izan dira (1.583 pertsonako migrazio saldo positiboa). Beraz, argi eta garbi ikusten da milurteko hasieratik egon den migrazio saldo positiboa azken hamarkadako migrazio mugimenduaren ondorio dela. Dinamika hauek ulertzeko hainbat faktore hartu behar dira aintzat, herriko etxebizitzen salerosketa, edo ekonomiak eragindako mugimendu migratorioak, esaterako. Salerosketen gaineko informazioa 7. atalean ikus daiteke (ikus </w:t>
      </w:r>
      <w:r>
        <w:rPr/>
        <w:fldChar w:fldCharType="begin"/>
      </w:r>
      <w:r>
        <w:rPr/>
        <w:instrText xml:space="preserve"> REF _Ref176947899 \h </w:instrText>
      </w:r>
      <w:r>
        <w:rPr/>
        <w:fldChar w:fldCharType="separate"/>
      </w:r>
      <w:r>
        <w:rPr/>
        <w:t>12. Grafikoa</w:t>
      </w:r>
      <w:r>
        <w:rPr/>
        <w:fldChar w:fldCharType="end"/>
      </w:r>
      <w:r>
        <w:rPr/>
        <w:t xml:space="preserve"> eta </w:t>
      </w:r>
      <w:r>
        <w:rPr/>
        <w:fldChar w:fldCharType="begin"/>
      </w:r>
      <w:r>
        <w:rPr/>
        <w:instrText xml:space="preserve"> REF _Ref176947914 \h </w:instrText>
      </w:r>
      <w:r>
        <w:rPr/>
        <w:fldChar w:fldCharType="separate"/>
      </w:r>
      <w:r>
        <w:rPr/>
        <w:t>9. Taula</w:t>
      </w:r>
      <w:r>
        <w:rPr/>
        <w:fldChar w:fldCharType="end"/>
      </w:r>
      <w:r>
        <w:rPr/>
        <w:t>).</w:t>
      </w:r>
    </w:p>
    <w:p>
      <w:pPr>
        <w:pStyle w:val="Caption"/>
        <w:rPr/>
      </w:pPr>
      <w:bookmarkStart w:id="65" w:name="_Toc191031086"/>
      <w:bookmarkStart w:id="66" w:name="_Ref176947899"/>
      <w:r>
        <w:rPr/>
        <w:fldChar w:fldCharType="begin"/>
      </w:r>
      <w:r>
        <w:rPr/>
        <w:instrText xml:space="preserve"> SEQ Grafikoa \* ARABIC </w:instrText>
      </w:r>
      <w:r>
        <w:rPr/>
        <w:fldChar w:fldCharType="separate"/>
      </w:r>
      <w:r>
        <w:rPr/>
        <w:t>12</w:t>
      </w:r>
      <w:r>
        <w:rPr/>
        <w:fldChar w:fldCharType="end"/>
      </w:r>
      <w:r>
        <w:rPr/>
        <w:t>. Grafikoa</w:t>
      </w:r>
      <w:bookmarkEnd w:id="66"/>
      <w:r>
        <w:rPr/>
        <w:t>: Biztanleriaren alten eta bajen bilakaera (kop.).</w:t>
        <w:br/>
        <w:t>Pasaia, 2000-2024</w:t>
      </w:r>
      <w:r>
        <w:rPr>
          <w:rStyle w:val="Ancladenotaalpie"/>
        </w:rPr>
        <w:footnoteReference w:id="3"/>
      </w:r>
      <w:bookmarkEnd w:id="65"/>
    </w:p>
    <w:p>
      <w:pPr>
        <w:pStyle w:val="Normal"/>
        <w:rPr/>
      </w:pPr>
      <w:r>
        <w:rPr/>
        <w:drawing>
          <wp:inline distT="0" distB="0" distL="0" distR="0">
            <wp:extent cx="5391150" cy="3200400"/>
            <wp:effectExtent l="0" t="0" r="0" b="0"/>
            <wp:docPr id="14" name="Imagen6" descr="Hau duen irudia testua, Lurrazala, diagram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6" descr="Hau duen irudia testua, Lurrazala, diagrama, lerroa&#10;&#10;Baliteke AAk sortutako edukia zuzena ez izatea."/>
                    <pic:cNvPicPr>
                      <a:picLocks noChangeAspect="1" noChangeArrowheads="1"/>
                    </pic:cNvPicPr>
                  </pic:nvPicPr>
                  <pic:blipFill>
                    <a:blip r:embed="rId15"/>
                    <a:stretch>
                      <a:fillRect/>
                    </a:stretch>
                  </pic:blipFill>
                  <pic:spPr bwMode="auto">
                    <a:xfrm>
                      <a:off x="0" y="0"/>
                      <a:ext cx="5391150" cy="3200400"/>
                    </a:xfrm>
                    <a:prstGeom prst="rect">
                      <a:avLst/>
                    </a:prstGeom>
                  </pic:spPr>
                </pic:pic>
              </a:graphicData>
            </a:graphic>
          </wp:inline>
        </w:drawing>
      </w:r>
    </w:p>
    <w:p>
      <w:pPr>
        <w:pStyle w:val="Iturria"/>
        <w:rPr/>
      </w:pPr>
      <w:r>
        <w:rPr/>
        <w:t xml:space="preserve"> </w:t>
      </w:r>
      <w:r>
        <w:rPr/>
        <w:t>Iturria: Errolda.</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67" w:name="_Toc191031152"/>
      <w:bookmarkStart w:id="68" w:name="_Ref176947914"/>
      <w:r>
        <w:rPr/>
        <w:fldChar w:fldCharType="begin"/>
      </w:r>
      <w:r>
        <w:rPr/>
        <w:instrText xml:space="preserve"> SEQ Taula \* ARABIC </w:instrText>
      </w:r>
      <w:r>
        <w:rPr/>
        <w:fldChar w:fldCharType="separate"/>
      </w:r>
      <w:r>
        <w:rPr/>
        <w:t>9</w:t>
      </w:r>
      <w:r>
        <w:rPr/>
        <w:fldChar w:fldCharType="end"/>
      </w:r>
      <w:r>
        <w:rPr/>
        <w:t>. Taula</w:t>
      </w:r>
      <w:bookmarkEnd w:id="68"/>
      <w:r>
        <w:rPr/>
        <w:t>: Biztanleriaren alten eta bajen bilakaera (kop.).</w:t>
        <w:br/>
        <w:t>Pasaia, 2000-2024</w:t>
      </w:r>
      <w:r>
        <w:rPr>
          <w:rStyle w:val="Ancladenotaalpie"/>
        </w:rPr>
        <w:footnoteReference w:id="4"/>
      </w:r>
      <w:bookmarkEnd w:id="67"/>
    </w:p>
    <w:tbl>
      <w:tblPr>
        <w:tblW w:w="581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18"/>
        <w:gridCol w:w="1558"/>
        <w:gridCol w:w="1419"/>
        <w:gridCol w:w="1416"/>
      </w:tblGrid>
      <w:tr>
        <w:trPr>
          <w:trHeight w:val="300" w:hRule="atLeast"/>
        </w:trPr>
        <w:tc>
          <w:tcPr>
            <w:tcW w:w="141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18"/>
                <w:szCs w:val="18"/>
                <w:lang w:eastAsia="eu-ES"/>
                <w14:ligatures w14:val="none"/>
              </w:rPr>
            </w:pPr>
            <w:r>
              <w:rPr>
                <w:rFonts w:eastAsia="Times New Roman" w:cs="Calibri Light"/>
                <w:b/>
                <w:bCs/>
                <w:color w:val="FFFFFF"/>
                <w:kern w:val="0"/>
                <w:sz w:val="18"/>
                <w:szCs w:val="18"/>
                <w:lang w:eastAsia="eu-ES"/>
                <w14:ligatures w14:val="none"/>
              </w:rPr>
              <w:t> </w:t>
            </w:r>
          </w:p>
        </w:tc>
        <w:tc>
          <w:tcPr>
            <w:tcW w:w="155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18"/>
                <w:szCs w:val="18"/>
                <w:lang w:eastAsia="eu-ES"/>
                <w14:ligatures w14:val="none"/>
              </w:rPr>
            </w:pPr>
            <w:r>
              <w:rPr>
                <w:rFonts w:eastAsia="Times New Roman" w:cs="Calibri Light"/>
                <w:b/>
                <w:bCs/>
                <w:color w:val="FFFFFF"/>
                <w:kern w:val="0"/>
                <w:sz w:val="18"/>
                <w:szCs w:val="18"/>
                <w:lang w:eastAsia="eu-ES"/>
                <w14:ligatures w14:val="none"/>
              </w:rPr>
              <w:t>Altak</w:t>
            </w:r>
          </w:p>
        </w:tc>
        <w:tc>
          <w:tcPr>
            <w:tcW w:w="141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18"/>
                <w:szCs w:val="18"/>
                <w:lang w:eastAsia="eu-ES"/>
                <w14:ligatures w14:val="none"/>
              </w:rPr>
            </w:pPr>
            <w:r>
              <w:rPr>
                <w:rFonts w:eastAsia="Times New Roman" w:cs="Calibri Light"/>
                <w:b/>
                <w:bCs/>
                <w:color w:val="FFFFFF"/>
                <w:kern w:val="0"/>
                <w:sz w:val="18"/>
                <w:szCs w:val="18"/>
                <w:lang w:eastAsia="eu-ES"/>
                <w14:ligatures w14:val="none"/>
              </w:rPr>
              <w:t>Bajak</w:t>
            </w:r>
          </w:p>
        </w:tc>
        <w:tc>
          <w:tcPr>
            <w:tcW w:w="1416"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18"/>
                <w:szCs w:val="18"/>
                <w:lang w:eastAsia="eu-ES"/>
                <w14:ligatures w14:val="none"/>
              </w:rPr>
            </w:pPr>
            <w:r>
              <w:rPr>
                <w:rFonts w:eastAsia="Times New Roman" w:cs="Calibri Light"/>
                <w:b/>
                <w:bCs/>
                <w:color w:val="FFFFFF"/>
                <w:kern w:val="0"/>
                <w:sz w:val="18"/>
                <w:szCs w:val="18"/>
                <w:lang w:eastAsia="eu-ES"/>
                <w14:ligatures w14:val="none"/>
              </w:rPr>
              <w:t>Saldoa</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2000</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496</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595</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18"/>
                <w:szCs w:val="18"/>
                <w:lang w:eastAsia="eu-ES"/>
                <w14:ligatures w14:val="none"/>
              </w:rPr>
            </w:pPr>
            <w:r>
              <w:rPr>
                <w:rFonts w:eastAsia="Times New Roman" w:cs="Calibri Light"/>
                <w:b/>
                <w:bCs/>
                <w:color w:val="FF0000"/>
                <w:kern w:val="0"/>
                <w:sz w:val="18"/>
                <w:szCs w:val="18"/>
                <w:lang w:eastAsia="eu-ES"/>
                <w14:ligatures w14:val="none"/>
              </w:rPr>
              <w:t>-99</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2004</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577</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670</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18"/>
                <w:szCs w:val="18"/>
                <w:lang w:eastAsia="eu-ES"/>
                <w14:ligatures w14:val="none"/>
              </w:rPr>
            </w:pPr>
            <w:r>
              <w:rPr>
                <w:rFonts w:eastAsia="Times New Roman" w:cs="Calibri Light"/>
                <w:b/>
                <w:bCs/>
                <w:color w:val="FF0000"/>
                <w:kern w:val="0"/>
                <w:sz w:val="18"/>
                <w:szCs w:val="18"/>
                <w:lang w:eastAsia="eu-ES"/>
                <w14:ligatures w14:val="none"/>
              </w:rPr>
              <w:t>-93</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2008</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809</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716</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93</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2012</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828</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852</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18"/>
                <w:szCs w:val="18"/>
                <w:lang w:eastAsia="eu-ES"/>
                <w14:ligatures w14:val="none"/>
              </w:rPr>
            </w:pPr>
            <w:r>
              <w:rPr>
                <w:rFonts w:eastAsia="Times New Roman" w:cs="Calibri Light"/>
                <w:b/>
                <w:bCs/>
                <w:color w:val="FF0000"/>
                <w:kern w:val="0"/>
                <w:sz w:val="18"/>
                <w:szCs w:val="18"/>
                <w:lang w:eastAsia="eu-ES"/>
                <w14:ligatures w14:val="none"/>
              </w:rPr>
              <w:t>-24</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2016</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951</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911</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40</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2020</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1.013</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1.011</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2</w:t>
            </w:r>
          </w:p>
        </w:tc>
      </w:tr>
      <w:tr>
        <w:trPr>
          <w:trHeight w:val="300" w:hRule="atLeast"/>
        </w:trPr>
        <w:tc>
          <w:tcPr>
            <w:tcW w:w="14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2024</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1.191</w:t>
            </w:r>
          </w:p>
        </w:tc>
        <w:tc>
          <w:tcPr>
            <w:tcW w:w="141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18"/>
                <w:szCs w:val="18"/>
                <w:lang w:eastAsia="eu-ES"/>
                <w14:ligatures w14:val="none"/>
              </w:rPr>
            </w:pPr>
            <w:r>
              <w:rPr>
                <w:rFonts w:eastAsia="Times New Roman" w:cs="Calibri Light"/>
                <w:color w:val="000000"/>
                <w:kern w:val="0"/>
                <w:sz w:val="18"/>
                <w:szCs w:val="18"/>
                <w:lang w:eastAsia="eu-ES"/>
                <w14:ligatures w14:val="none"/>
              </w:rPr>
              <w:t>1.103</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88</w:t>
            </w:r>
          </w:p>
        </w:tc>
      </w:tr>
      <w:tr>
        <w:trPr>
          <w:trHeight w:val="300" w:hRule="atLeast"/>
        </w:trPr>
        <w:tc>
          <w:tcPr>
            <w:tcW w:w="1418"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Orotara</w:t>
            </w:r>
          </w:p>
        </w:tc>
        <w:tc>
          <w:tcPr>
            <w:tcW w:w="155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22.036</w:t>
            </w:r>
          </w:p>
        </w:tc>
        <w:tc>
          <w:tcPr>
            <w:tcW w:w="141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21.165</w:t>
            </w:r>
          </w:p>
        </w:tc>
        <w:tc>
          <w:tcPr>
            <w:tcW w:w="1416"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18"/>
                <w:szCs w:val="18"/>
                <w:lang w:eastAsia="eu-ES"/>
                <w14:ligatures w14:val="none"/>
              </w:rPr>
            </w:pPr>
            <w:r>
              <w:rPr>
                <w:rFonts w:eastAsia="Times New Roman" w:cs="Calibri Light"/>
                <w:b/>
                <w:bCs/>
                <w:color w:val="000000"/>
                <w:kern w:val="0"/>
                <w:sz w:val="18"/>
                <w:szCs w:val="18"/>
                <w:lang w:eastAsia="eu-ES"/>
                <w14:ligatures w14:val="none"/>
              </w:rPr>
              <w:t>871</w:t>
            </w:r>
          </w:p>
        </w:tc>
      </w:tr>
    </w:tbl>
    <w:p>
      <w:pPr>
        <w:pStyle w:val="Iturria"/>
        <w:rPr/>
      </w:pPr>
      <w:r>
        <w:rPr/>
        <w:t>Iturria: Eustat eta errolda.</w:t>
      </w:r>
    </w:p>
    <w:p>
      <w:pPr>
        <w:pStyle w:val="Normal"/>
        <w:jc w:val="both"/>
        <w:rPr>
          <w:color w:val="595959" w:themeColor="text1" w:themeTint="a6"/>
          <w:sz w:val="18"/>
          <w:szCs w:val="18"/>
        </w:rPr>
      </w:pPr>
      <w:r>
        <w:rPr/>
        <w:t>Esan bezala, alta eta bajen datuen inguruko informazio zehatza 2009-2024 urteen artean bakarrik aztertu da. Aldi honetan erroldan izandako 16.521 altetatik 8.479 gizonak izan dira (%51,3) eta 8.042 emakumeak (%48,7). Gizonen alta kopurua emakumeena baino altuagoa bada ere, immigrazioaren edo etxe aldaketen maskulinizazioa ez da oso nabaria. Altak adin tarteka aztertzen badira, ordea, erroldatze berri gehienak hiru belaunalditan banatzen direla ikusten da: 20-34 urte arteko 6.252 pertsona (%37,8), 35-49 urte arteko 4.584 pertsona (%27,7) eta azken hauen seme-alabak, 0-19 urte arteko 3.104 pertsona (%18,8). 50-64 urte arteko belaunaldikoak (1.903 pertsona) udalerriko alta berrien %11,5 besterik ez dira, eta belaunaldi zaharragoen pisua are txikiagoa da. Horiek horrela, azken urteetan Pasaiara bizitzera joandako pertsona gehienak emantzipazio edo familia osatzeko adin tartean egin dute lekualdatzea (</w:t>
      </w:r>
      <w:r>
        <w:rPr/>
        <w:fldChar w:fldCharType="begin"/>
      </w:r>
      <w:r>
        <w:rPr/>
        <w:instrText xml:space="preserve"> REF _Ref176947936 \h </w:instrText>
      </w:r>
      <w:r>
        <w:rPr/>
        <w:fldChar w:fldCharType="separate"/>
      </w:r>
      <w:r>
        <w:rPr/>
        <w:t>13. Grafikoa</w:t>
      </w:r>
      <w:r>
        <w:rPr/>
        <w:fldChar w:fldCharType="end"/>
      </w:r>
      <w:r>
        <w:rPr/>
        <w:t xml:space="preserve"> eta </w:t>
      </w:r>
      <w:r>
        <w:rPr/>
        <w:fldChar w:fldCharType="begin"/>
      </w:r>
      <w:r>
        <w:rPr/>
        <w:instrText xml:space="preserve"> REF _Ref176947946 \h </w:instrText>
      </w:r>
      <w:r>
        <w:rPr/>
        <w:fldChar w:fldCharType="separate"/>
      </w:r>
      <w:r>
        <w:rPr/>
        <w:t>14. Grafikoa</w:t>
      </w:r>
      <w:r>
        <w:rPr/>
        <w:fldChar w:fldCharType="end"/>
      </w:r>
      <w:r>
        <w:rPr/>
        <w:t xml:space="preserve">).     </w:t>
      </w:r>
      <w:r>
        <w:br w:type="page"/>
      </w:r>
    </w:p>
    <w:p>
      <w:pPr>
        <w:pStyle w:val="Caption"/>
        <w:rPr/>
      </w:pPr>
      <w:bookmarkStart w:id="69" w:name="_Toc191031087"/>
      <w:bookmarkStart w:id="70" w:name="_Ref176947936"/>
      <w:r>
        <w:rPr/>
        <w:fldChar w:fldCharType="begin"/>
      </w:r>
      <w:r>
        <w:rPr/>
        <w:instrText xml:space="preserve"> SEQ Grafikoa \* ARABIC </w:instrText>
      </w:r>
      <w:r>
        <w:rPr/>
        <w:fldChar w:fldCharType="separate"/>
      </w:r>
      <w:r>
        <w:rPr/>
        <w:t>13</w:t>
      </w:r>
      <w:r>
        <w:rPr/>
        <w:fldChar w:fldCharType="end"/>
      </w:r>
      <w:r>
        <w:rPr/>
        <w:t>. Grafikoa</w:t>
      </w:r>
      <w:bookmarkEnd w:id="70"/>
      <w:r>
        <w:rPr/>
        <w:t>: Alten bilakaera sexuaren arabera (kop.).</w:t>
        <w:br/>
        <w:t>Pasaia, 2009-2024</w:t>
      </w:r>
      <w:r>
        <w:rPr>
          <w:rStyle w:val="Ancladenotaalpie"/>
        </w:rPr>
        <w:footnoteReference w:id="5"/>
      </w:r>
      <w:bookmarkEnd w:id="69"/>
    </w:p>
    <w:p>
      <w:pPr>
        <w:pStyle w:val="Normal"/>
        <w:jc w:val="center"/>
        <w:rPr/>
      </w:pPr>
      <w:r>
        <w:rPr/>
        <w:drawing>
          <wp:inline distT="0" distB="0" distL="0" distR="0">
            <wp:extent cx="5390515" cy="3200400"/>
            <wp:effectExtent l="0" t="0" r="0" b="0"/>
            <wp:docPr id="15" name="Imagen7" descr="Hau duen irudia testua, pantaila-argazkia, Lurrazal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7" descr="Hau duen irudia testua, pantaila-argazkia, Lurrazala, diagrama&#10;&#10;Azalpena automatikoki sortu da"/>
                    <pic:cNvPicPr>
                      <a:picLocks noChangeAspect="1" noChangeArrowheads="1"/>
                    </pic:cNvPicPr>
                  </pic:nvPicPr>
                  <pic:blipFill>
                    <a:blip r:embed="rId16"/>
                    <a:stretch>
                      <a:fillRect/>
                    </a:stretch>
                  </pic:blipFill>
                  <pic:spPr bwMode="auto">
                    <a:xfrm>
                      <a:off x="0" y="0"/>
                      <a:ext cx="5390515" cy="3200400"/>
                    </a:xfrm>
                    <a:prstGeom prst="rect">
                      <a:avLst/>
                    </a:prstGeom>
                  </pic:spPr>
                </pic:pic>
              </a:graphicData>
            </a:graphic>
          </wp:inline>
        </w:drawing>
      </w:r>
    </w:p>
    <w:p>
      <w:pPr>
        <w:pStyle w:val="Iturria"/>
        <w:rPr/>
      </w:pPr>
      <w:r>
        <w:rPr/>
        <w:t>Iturria: Errolda.</w:t>
      </w:r>
    </w:p>
    <w:p>
      <w:pPr>
        <w:pStyle w:val="Iturria"/>
        <w:rPr/>
      </w:pPr>
      <w:r>
        <w:rPr/>
      </w:r>
    </w:p>
    <w:p>
      <w:pPr>
        <w:pStyle w:val="Caption"/>
        <w:rPr/>
      </w:pPr>
      <w:bookmarkStart w:id="71" w:name="_Toc191031088"/>
      <w:bookmarkStart w:id="72" w:name="_Ref176947946"/>
      <w:r>
        <w:rPr/>
        <w:fldChar w:fldCharType="begin"/>
      </w:r>
      <w:r>
        <w:rPr/>
        <w:instrText xml:space="preserve"> SEQ Grafikoa \* ARABIC </w:instrText>
      </w:r>
      <w:r>
        <w:rPr/>
        <w:fldChar w:fldCharType="separate"/>
      </w:r>
      <w:r>
        <w:rPr/>
        <w:t>14</w:t>
      </w:r>
      <w:r>
        <w:rPr/>
        <w:fldChar w:fldCharType="end"/>
      </w:r>
      <w:r>
        <w:rPr/>
        <w:t>. Grafikoa</w:t>
      </w:r>
      <w:bookmarkEnd w:id="72"/>
      <w:r>
        <w:rPr/>
        <w:t>: Alten bilakaera adinaren arabera (kop.).</w:t>
        <w:br/>
        <w:t>Pasaia, 2009-2024</w:t>
      </w:r>
      <w:r>
        <w:rPr>
          <w:rStyle w:val="Ancladenotaalpie"/>
        </w:rPr>
        <w:footnoteReference w:id="6"/>
      </w:r>
      <w:bookmarkEnd w:id="71"/>
    </w:p>
    <w:p>
      <w:pPr>
        <w:pStyle w:val="Normal"/>
        <w:jc w:val="center"/>
        <w:rPr/>
      </w:pPr>
      <w:r>
        <w:rPr/>
        <w:drawing>
          <wp:inline distT="0" distB="0" distL="0" distR="0">
            <wp:extent cx="5390515" cy="3200400"/>
            <wp:effectExtent l="0" t="0" r="0" b="0"/>
            <wp:docPr id="16" name="Imagen8" descr="Hau duen irudia testua, pantaila-argazkia, Lurrazal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8" descr="Hau duen irudia testua, pantaila-argazkia, Lurrazala, diagrama&#10;&#10;Azalpena automatikoki sortu da"/>
                    <pic:cNvPicPr>
                      <a:picLocks noChangeAspect="1" noChangeArrowheads="1"/>
                    </pic:cNvPicPr>
                  </pic:nvPicPr>
                  <pic:blipFill>
                    <a:blip r:embed="rId17"/>
                    <a:stretch>
                      <a:fillRect/>
                    </a:stretch>
                  </pic:blipFill>
                  <pic:spPr bwMode="auto">
                    <a:xfrm>
                      <a:off x="0" y="0"/>
                      <a:ext cx="5390515" cy="3200400"/>
                    </a:xfrm>
                    <a:prstGeom prst="rect">
                      <a:avLst/>
                    </a:prstGeom>
                  </pic:spPr>
                </pic:pic>
              </a:graphicData>
            </a:graphic>
          </wp:inline>
        </w:drawing>
      </w:r>
    </w:p>
    <w:p>
      <w:pPr>
        <w:pStyle w:val="Iturria"/>
        <w:rPr/>
      </w:pPr>
      <w:r>
        <w:rPr/>
        <w:t>Iturria: Errolda.</w:t>
      </w:r>
    </w:p>
    <w:p>
      <w:pPr>
        <w:pStyle w:val="Normal"/>
        <w:jc w:val="both"/>
        <w:rPr/>
      </w:pPr>
      <w:r>
        <w:rPr/>
        <w:t xml:space="preserve">Bestalde, alta berriak jatorriaren arabera aztertzen badira, aniztasun esanguratsua badago ere, Pasaiak Donostialdearekin duen hartu-emana nagusitzen da. Izan ere, %63,3a  Donostialdeko udalerriren batetik etorri da (10.455 alta), horien laurden bat baino gehiago Oarsoaldeatik. Gainerako eremuen kasuan %9,1 Gipuzkoatik (1.501 alta), %2,0 EAEtik (329 alta) eta %12,2 Espainiako eskualderen batetik (2.010 alta) (ikus </w:t>
      </w:r>
      <w:r>
        <w:rPr/>
        <w:fldChar w:fldCharType="begin"/>
      </w:r>
      <w:r>
        <w:rPr/>
        <w:instrText xml:space="preserve"> REF _Ref176947985 \h </w:instrText>
      </w:r>
      <w:r>
        <w:rPr/>
        <w:fldChar w:fldCharType="separate"/>
      </w:r>
      <w:r>
        <w:rPr/>
        <w:t>15. Grafikoa</w:t>
      </w:r>
      <w:r>
        <w:rPr/>
        <w:fldChar w:fldCharType="end"/>
      </w:r>
      <w:r>
        <w:rPr/>
        <w:t>).</w:t>
      </w:r>
    </w:p>
    <w:p>
      <w:pPr>
        <w:pStyle w:val="Normal"/>
        <w:jc w:val="both"/>
        <w:rPr/>
      </w:pPr>
      <w:r>
        <w:rPr/>
        <w:t xml:space="preserve">Edonola ere, alten jatorriari dagokionez, aipatzekoa da aldi honetako alta guztien %17,3ari buruz ez dagoela daturik, eta estatutik kanpo zuzenean Pasaiara iritsi diren pertsona kopurua oso txikia dela: Europa (45 alta), Amerika (27 alta), Afrika (9 alta) eta Asia (3 alta). Dena den, aintzat hartu behar da epealdi horretan Pasaian erroldatu diren pertsonen %45,0ak ez duela espainiar herritartasuna. Beraz, datu horien atzean hainbat faktore desberdin egon daitezke: altak erregistratzeko metodologia edota zuzenean estatutik kanpo jaio eta Pasaian bizilekua hartu duten herritar gehienak estatuko beste eremu batean erroldatu ondoren iritsi izana, esaterako (ikus </w:t>
      </w:r>
      <w:r>
        <w:rPr/>
        <w:fldChar w:fldCharType="begin"/>
      </w:r>
      <w:r>
        <w:rPr/>
        <w:instrText xml:space="preserve"> REF _Ref176947985 \h </w:instrText>
      </w:r>
      <w:r>
        <w:rPr/>
        <w:fldChar w:fldCharType="separate"/>
      </w:r>
      <w:r>
        <w:rPr/>
        <w:t>15. Grafikoa</w:t>
      </w:r>
      <w:r>
        <w:rPr/>
        <w:fldChar w:fldCharType="end"/>
      </w:r>
      <w:r>
        <w:rPr/>
        <w:t>).</w:t>
      </w:r>
    </w:p>
    <w:p>
      <w:pPr>
        <w:pStyle w:val="Normal"/>
        <w:jc w:val="both"/>
        <w:rPr/>
      </w:pPr>
      <w:r>
        <w:rPr/>
        <w:t xml:space="preserve">Donostialdetik Pasaiara iritsi direnen artean %65,1a Donostiatik etorri dira (6.807 alta) eta %15,8 Errenteriatik (1.653 alta). Lezotik (313 alta), Lasarte-Oriatik (227 alta) edota Hernanitik (195 alta) jasotako pertsona kopurua ere altua da. Datu horiek agerian uzten dute udalerria Donostialdeko eta, bereziki, Donostiako biztanleriaren hartzaile nagusia dela. Gipuzkoako gainerako eskualdeetatik Pasaiara bizitzera joan diren gehienak, berriz, Irundik (597 alta), Hondarribitik (111 alta), Villabonatik (71 alta) edita Tolosatik (70 alta) iritsi dira. Bidasoaldeatik biztanle gehiago jaso badira ere gainerako eskualdeetako altak ere badira (ikus </w:t>
      </w:r>
      <w:r>
        <w:rPr/>
        <w:fldChar w:fldCharType="begin"/>
      </w:r>
      <w:r>
        <w:rPr/>
        <w:instrText xml:space="preserve"> REF _Ref176947985 \h </w:instrText>
      </w:r>
      <w:r>
        <w:rPr/>
        <w:fldChar w:fldCharType="separate"/>
      </w:r>
      <w:r>
        <w:rPr/>
        <w:t>15. Grafikoa</w:t>
      </w:r>
      <w:r>
        <w:rPr/>
        <w:fldChar w:fldCharType="end"/>
      </w:r>
      <w:r>
        <w:rPr/>
        <w:t>).</w:t>
      </w:r>
    </w:p>
    <w:p>
      <w:pPr>
        <w:pStyle w:val="Normal"/>
        <w:jc w:val="both"/>
        <w:rPr>
          <w:color w:val="595959" w:themeColor="text1" w:themeTint="a6"/>
          <w:sz w:val="18"/>
          <w:szCs w:val="18"/>
        </w:rPr>
      </w:pPr>
      <w:r>
        <w:rPr/>
        <w:t xml:space="preserve">Estatuko gainerako lurraldeetatik Pasaiara mugitu direnen artean Madril (261 alta), Nafarroa (243 alta), Bartzelona (139 alta) eta Alacant (99 alta)  nabarmentzen dira. Estatuarekiko joan-etorrietan bi fenomeno bereizi daitezke: Pasaiak Nafarroa Garaiarekiko duen gertutasuna, batetik, eta testuinguru sozioekonomikoek eragindako mugikortasun dinamikak, bestetik. Azken honetan aldaketa gertatu da, gaur egun hiri nagusiak dituzten lurraldeak nabarmentzen baitira, duela lauzpabost hamarkada ez bezala (ikus </w:t>
      </w:r>
      <w:r>
        <w:rPr/>
        <w:fldChar w:fldCharType="begin"/>
      </w:r>
      <w:r>
        <w:rPr/>
        <w:instrText xml:space="preserve"> REF _Ref176947985 \h </w:instrText>
      </w:r>
      <w:r>
        <w:rPr/>
        <w:fldChar w:fldCharType="separate"/>
      </w:r>
      <w:r>
        <w:rPr/>
        <w:t>15. Grafikoa</w:t>
      </w:r>
      <w:r>
        <w:rPr/>
        <w:fldChar w:fldCharType="end"/>
      </w:r>
      <w:r>
        <w:rPr/>
        <w:t>).</w:t>
      </w:r>
      <w:r>
        <w:br w:type="page"/>
      </w:r>
    </w:p>
    <w:p>
      <w:pPr>
        <w:pStyle w:val="Caption"/>
        <w:rPr/>
      </w:pPr>
      <w:bookmarkStart w:id="73" w:name="_Toc191031089"/>
      <w:bookmarkStart w:id="74" w:name="_Ref176947985"/>
      <w:r>
        <w:rPr/>
        <w:fldChar w:fldCharType="begin"/>
      </w:r>
      <w:r>
        <w:rPr/>
        <w:instrText xml:space="preserve"> SEQ Grafikoa \* ARABIC </w:instrText>
      </w:r>
      <w:r>
        <w:rPr/>
        <w:fldChar w:fldCharType="separate"/>
      </w:r>
      <w:r>
        <w:rPr/>
        <w:t>15</w:t>
      </w:r>
      <w:r>
        <w:rPr/>
        <w:fldChar w:fldCharType="end"/>
      </w:r>
      <w:r>
        <w:rPr/>
        <w:t>. Grafikoa</w:t>
      </w:r>
      <w:bookmarkEnd w:id="74"/>
      <w:r>
        <w:rPr/>
        <w:t>: Alten bilakaera jatorriko lurraldearen arabera (kop.).</w:t>
        <w:br/>
        <w:t>Pasaia, 2009-2024</w:t>
      </w:r>
      <w:r>
        <w:rPr>
          <w:rStyle w:val="Ancladenotaalpie"/>
        </w:rPr>
        <w:footnoteReference w:id="7"/>
      </w:r>
      <w:bookmarkEnd w:id="73"/>
    </w:p>
    <w:p>
      <w:pPr>
        <w:pStyle w:val="Iturria"/>
        <w:rPr/>
      </w:pPr>
      <w:r>
        <w:rPr/>
        <w:drawing>
          <wp:inline distT="0" distB="0" distL="0" distR="0">
            <wp:extent cx="5400040" cy="3203575"/>
            <wp:effectExtent l="0" t="0" r="0" b="0"/>
            <wp:docPr id="17"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9" descr=""/>
                    <pic:cNvPicPr>
                      <a:picLocks noChangeAspect="1" noChangeArrowheads="1"/>
                    </pic:cNvPicPr>
                  </pic:nvPicPr>
                  <pic:blipFill>
                    <a:blip r:embed="rId18"/>
                    <a:stretch>
                      <a:fillRect/>
                    </a:stretch>
                  </pic:blipFill>
                  <pic:spPr bwMode="auto">
                    <a:xfrm>
                      <a:off x="0" y="0"/>
                      <a:ext cx="5400040" cy="3203575"/>
                    </a:xfrm>
                    <a:prstGeom prst="rect">
                      <a:avLst/>
                    </a:prstGeom>
                  </pic:spPr>
                </pic:pic>
              </a:graphicData>
            </a:graphic>
          </wp:inline>
        </w:drawing>
      </w:r>
    </w:p>
    <w:p>
      <w:pPr>
        <w:pStyle w:val="Iturria"/>
        <w:rPr/>
      </w:pPr>
      <w:r>
        <w:rPr/>
        <w:t xml:space="preserve"> </w:t>
      </w:r>
      <w:r>
        <w:rPr/>
        <w:t>Iturria: Errolda.</w:t>
      </w:r>
      <w:bookmarkStart w:id="75" w:name="_Ref176948011"/>
    </w:p>
    <w:p>
      <w:pPr>
        <w:pStyle w:val="Normal"/>
        <w:jc w:val="both"/>
        <w:rPr>
          <w:color w:val="595959" w:themeColor="text1" w:themeTint="a6"/>
          <w:sz w:val="18"/>
          <w:szCs w:val="18"/>
        </w:rPr>
      </w:pPr>
      <w:r>
        <w:rPr/>
        <w:t xml:space="preserve">Azken urteetan erroldaren arabera Pasaiatik kanpora joan diren pertsonen ezaugarriei dagokionez (15.020 baja) sexuaren araberako gehiengoa gizonak dira (%51,6). Adin tarteari dagokionez, aldiz, azpimarratu behar da udalerria utzi duten pertsonen heren bat baino gehiago (%35,2) 20-34 urte bitarteko gazteak izan direla (5.289 baja). Horiekin batera, 35-49 urte bitarteko 4.350 pertsona (%29,0) eta nagusiki hauen seme-alabak diren 0-19 urte arteko 2.713 pertsona (%18,1) dira erroldan baja izan diren adin tarte nagusiak. Datu horiek berresten dute gazteak direla nagusiki udalerria utzi duten pertsonak (ikus </w:t>
      </w:r>
      <w:r>
        <w:rPr/>
        <w:fldChar w:fldCharType="begin"/>
      </w:r>
      <w:r>
        <w:rPr/>
        <w:instrText xml:space="preserve"> REF _Ref182840278 \h </w:instrText>
      </w:r>
      <w:r>
        <w:rPr/>
        <w:fldChar w:fldCharType="separate"/>
      </w:r>
      <w:r>
        <w:rPr/>
        <w:t>16. Grafikoa</w:t>
      </w:r>
      <w:r>
        <w:rPr/>
        <w:fldChar w:fldCharType="end"/>
      </w:r>
      <w:r>
        <w:rPr/>
        <w:t xml:space="preserve"> eta </w:t>
      </w:r>
      <w:r>
        <w:rPr/>
        <w:fldChar w:fldCharType="begin"/>
      </w:r>
      <w:r>
        <w:rPr/>
        <w:instrText xml:space="preserve"> REF _Ref176948017 \h </w:instrText>
      </w:r>
      <w:r>
        <w:rPr/>
        <w:fldChar w:fldCharType="separate"/>
      </w:r>
      <w:r>
        <w:rPr/>
        <w:t>17. Grafikoa</w:t>
      </w:r>
      <w:r>
        <w:rPr/>
        <w:fldChar w:fldCharType="end"/>
      </w:r>
      <w:r>
        <w:rPr/>
        <w:t>).</w:t>
      </w:r>
      <w:r>
        <w:br w:type="page"/>
      </w:r>
    </w:p>
    <w:p>
      <w:pPr>
        <w:pStyle w:val="Caption"/>
        <w:rPr/>
      </w:pPr>
      <w:bookmarkStart w:id="76" w:name="_Toc191031090"/>
      <w:bookmarkStart w:id="77" w:name="_Ref182840278"/>
      <w:r>
        <w:rPr/>
        <w:fldChar w:fldCharType="begin"/>
      </w:r>
      <w:r>
        <w:rPr/>
        <w:instrText xml:space="preserve"> SEQ Grafikoa \* ARABIC </w:instrText>
      </w:r>
      <w:r>
        <w:rPr/>
        <w:fldChar w:fldCharType="separate"/>
      </w:r>
      <w:r>
        <w:rPr/>
        <w:t>16</w:t>
      </w:r>
      <w:r>
        <w:rPr/>
        <w:fldChar w:fldCharType="end"/>
      </w:r>
      <w:r>
        <w:rPr/>
        <w:t>. Grafikoa</w:t>
      </w:r>
      <w:bookmarkEnd w:id="75"/>
      <w:bookmarkEnd w:id="77"/>
      <w:r>
        <w:rPr/>
        <w:t>: Bajen bilakaera sexuaren arabera (kop.).</w:t>
        <w:br/>
        <w:t>Pasaia, 2009-2024</w:t>
      </w:r>
      <w:r>
        <w:rPr>
          <w:rStyle w:val="Ancladenotaalpie"/>
        </w:rPr>
        <w:footnoteReference w:id="8"/>
      </w:r>
      <w:bookmarkEnd w:id="76"/>
    </w:p>
    <w:p>
      <w:pPr>
        <w:pStyle w:val="Iturria"/>
        <w:rPr/>
      </w:pPr>
      <w:r>
        <w:rPr/>
        <w:drawing>
          <wp:inline distT="0" distB="0" distL="0" distR="0">
            <wp:extent cx="5390515" cy="3200400"/>
            <wp:effectExtent l="0" t="0" r="0" b="0"/>
            <wp:docPr id="18" name="Imagen10" descr="Hau duen irudia testua, pantaila-argazkia, Lurrazal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0" descr="Hau duen irudia testua, pantaila-argazkia, Lurrazala, diagrama&#10;&#10;Azalpena automatikoki sortu da"/>
                    <pic:cNvPicPr>
                      <a:picLocks noChangeAspect="1" noChangeArrowheads="1"/>
                    </pic:cNvPicPr>
                  </pic:nvPicPr>
                  <pic:blipFill>
                    <a:blip r:embed="rId19"/>
                    <a:stretch>
                      <a:fillRect/>
                    </a:stretch>
                  </pic:blipFill>
                  <pic:spPr bwMode="auto">
                    <a:xfrm>
                      <a:off x="0" y="0"/>
                      <a:ext cx="5390515" cy="3200400"/>
                    </a:xfrm>
                    <a:prstGeom prst="rect">
                      <a:avLst/>
                    </a:prstGeom>
                  </pic:spPr>
                </pic:pic>
              </a:graphicData>
            </a:graphic>
          </wp:inline>
        </w:drawing>
      </w:r>
      <w:r>
        <w:rPr/>
        <w:t xml:space="preserve"> </w:t>
      </w:r>
      <w:r>
        <w:rPr/>
        <w:t>Iturria: Errolda.</w:t>
      </w:r>
    </w:p>
    <w:p>
      <w:pPr>
        <w:pStyle w:val="Iturria"/>
        <w:rPr/>
      </w:pPr>
      <w:r>
        <w:rPr/>
      </w:r>
    </w:p>
    <w:p>
      <w:pPr>
        <w:pStyle w:val="Caption"/>
        <w:rPr/>
      </w:pPr>
      <w:bookmarkStart w:id="78" w:name="_Toc191031091"/>
      <w:bookmarkStart w:id="79" w:name="_Ref176948017"/>
      <w:r>
        <w:rPr/>
        <w:fldChar w:fldCharType="begin"/>
      </w:r>
      <w:r>
        <w:rPr/>
        <w:instrText xml:space="preserve"> SEQ Grafikoa \* ARABIC </w:instrText>
      </w:r>
      <w:r>
        <w:rPr/>
        <w:fldChar w:fldCharType="separate"/>
      </w:r>
      <w:r>
        <w:rPr/>
        <w:t>17</w:t>
      </w:r>
      <w:r>
        <w:rPr/>
        <w:fldChar w:fldCharType="end"/>
      </w:r>
      <w:r>
        <w:rPr/>
        <w:t>. Grafikoa</w:t>
      </w:r>
      <w:bookmarkEnd w:id="79"/>
      <w:r>
        <w:rPr/>
        <w:t>: Bajen bilakaera adinaren arabera (kop.).</w:t>
        <w:br/>
        <w:t>Pasaia, 2009-2024</w:t>
      </w:r>
      <w:r>
        <w:rPr>
          <w:rStyle w:val="Ancladenotaalpie"/>
        </w:rPr>
        <w:footnoteReference w:id="9"/>
      </w:r>
      <w:bookmarkEnd w:id="78"/>
    </w:p>
    <w:p>
      <w:pPr>
        <w:pStyle w:val="Iturria"/>
        <w:rPr/>
      </w:pPr>
      <w:r>
        <w:rPr/>
        <w:drawing>
          <wp:inline distT="0" distB="0" distL="0" distR="0">
            <wp:extent cx="5390515" cy="3200400"/>
            <wp:effectExtent l="0" t="0" r="0" b="0"/>
            <wp:docPr id="19" name="Imagen11" descr="Hau duen irudia testua, pantaila-argazkia, Lurrazal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11" descr="Hau duen irudia testua, pantaila-argazkia, Lurrazala, diagrama&#10;&#10;Azalpena automatikoki sortu da"/>
                    <pic:cNvPicPr>
                      <a:picLocks noChangeAspect="1" noChangeArrowheads="1"/>
                    </pic:cNvPicPr>
                  </pic:nvPicPr>
                  <pic:blipFill>
                    <a:blip r:embed="rId20"/>
                    <a:stretch>
                      <a:fillRect/>
                    </a:stretch>
                  </pic:blipFill>
                  <pic:spPr bwMode="auto">
                    <a:xfrm>
                      <a:off x="0" y="0"/>
                      <a:ext cx="5390515" cy="3200400"/>
                    </a:xfrm>
                    <a:prstGeom prst="rect">
                      <a:avLst/>
                    </a:prstGeom>
                  </pic:spPr>
                </pic:pic>
              </a:graphicData>
            </a:graphic>
          </wp:inline>
        </w:drawing>
      </w:r>
      <w:r>
        <w:rPr/>
        <w:t xml:space="preserve"> </w:t>
      </w:r>
      <w:r>
        <w:rPr/>
        <w:t>Iturria: Errolda.</w:t>
      </w:r>
    </w:p>
    <w:p>
      <w:pPr>
        <w:pStyle w:val="Iturria"/>
        <w:rPr/>
      </w:pPr>
      <w:r>
        <w:rPr/>
      </w:r>
    </w:p>
    <w:p>
      <w:pPr>
        <w:pStyle w:val="Normal"/>
        <w:jc w:val="both"/>
        <w:rPr/>
      </w:pPr>
      <w:r>
        <w:rPr/>
        <w:t xml:space="preserve">Epealdi horretako bajen %13,4ren helmuga zein izan den ezin da zehaztu. Gainerako kasuetan aldaketen %57,8aren helburua Donostialdea (8.681 baja) izan da, horietatik %27,2a Oarsoaldeara (2.365 baja), zehazki. Gainerako helburu esanguratsuak Gipuzkoa (%10,7), EAE (%2,4) edo Espainiako estatuko lurralderen bat (%13,0) izan dira. Estatutik kanpo jo dutenen proportzioak txikiagoak dira, orotara baja guztien %2,7 besterik ez (ikus </w:t>
      </w:r>
      <w:r>
        <w:rPr/>
        <w:fldChar w:fldCharType="begin"/>
      </w:r>
      <w:r>
        <w:rPr/>
        <w:instrText xml:space="preserve"> REF _Ref176948038 \h </w:instrText>
      </w:r>
      <w:r>
        <w:rPr/>
        <w:fldChar w:fldCharType="separate"/>
      </w:r>
      <w:r>
        <w:rPr/>
        <w:t>18. Grafikoa</w:t>
      </w:r>
      <w:r>
        <w:rPr/>
        <w:fldChar w:fldCharType="end"/>
      </w:r>
      <w:r>
        <w:rPr/>
        <w:t xml:space="preserve">). </w:t>
      </w:r>
    </w:p>
    <w:p>
      <w:pPr>
        <w:pStyle w:val="Normal"/>
        <w:jc w:val="both"/>
        <w:rPr/>
      </w:pPr>
      <w:r>
        <w:rPr/>
        <w:t xml:space="preserve">Pasaiatik Donostialdeara bizilekua aldatu duten %62,6 zuzenean Donostiara mugitu dira (5.432 baja). Gainerako udalerri ohikoenak Errenteria (1.812 baja), Lezo (342 baja), Lasarte-Oria (230 baja), Hernani (220 baja) eta Oiartzun (211 baja) izan dira. Gipuzkoara joan direnen artean Hondarribia (104 baja) eta, batik bat, Irun (692 baja) izan dira helburu nagusiak Donostialdeak eta Bidasoaldeak eskaintzen zituen bizilekuen aukeren baitan biztanleak Pasaia utzi dute (ikus </w:t>
      </w:r>
      <w:r>
        <w:rPr/>
        <w:fldChar w:fldCharType="begin"/>
      </w:r>
      <w:r>
        <w:rPr/>
        <w:instrText xml:space="preserve"> REF _Ref176948038 \h </w:instrText>
      </w:r>
      <w:r>
        <w:rPr/>
        <w:fldChar w:fldCharType="separate"/>
      </w:r>
      <w:r>
        <w:rPr/>
        <w:t>18. Grafikoa</w:t>
      </w:r>
      <w:r>
        <w:rPr/>
        <w:fldChar w:fldCharType="end"/>
      </w:r>
      <w:r>
        <w:rPr/>
        <w:t xml:space="preserve">). </w:t>
      </w:r>
    </w:p>
    <w:p>
      <w:pPr>
        <w:pStyle w:val="Normal"/>
        <w:jc w:val="both"/>
        <w:rPr/>
      </w:pPr>
      <w:r>
        <w:rPr/>
        <w:t xml:space="preserve">Estatuko beste herrialderen bat helburu izan dutenen artean Nafarroa (314 baja), Madril (226 baja) eta Bartzelona (140 baja) izan dira hartzaile nagusiak. Altetan ikusi bezalaxe bi fenomeno bereiz daitezke: Nafarroarekiko gertutasuna eragindako mugikortasuna bestetik, eta hiri nagusien aglomerazio ekonomiak eragindako biztanleria bereganatzea, bestetik (ikus </w:t>
      </w:r>
      <w:r>
        <w:rPr/>
        <w:fldChar w:fldCharType="begin"/>
      </w:r>
      <w:r>
        <w:rPr/>
        <w:instrText xml:space="preserve"> REF _Ref176948038 \h </w:instrText>
      </w:r>
      <w:r>
        <w:rPr/>
        <w:fldChar w:fldCharType="separate"/>
      </w:r>
      <w:r>
        <w:rPr/>
        <w:t>18. Grafikoa</w:t>
      </w:r>
      <w:r>
        <w:rPr/>
        <w:fldChar w:fldCharType="end"/>
      </w:r>
      <w:r>
        <w:rPr/>
        <w:t>).</w:t>
      </w:r>
    </w:p>
    <w:p>
      <w:pPr>
        <w:pStyle w:val="Normal"/>
        <w:jc w:val="both"/>
        <w:rPr/>
      </w:pPr>
      <w:r>
        <w:rPr/>
      </w:r>
    </w:p>
    <w:p>
      <w:pPr>
        <w:pStyle w:val="Caption"/>
        <w:rPr/>
      </w:pPr>
      <w:bookmarkStart w:id="80" w:name="_Toc191031092"/>
      <w:bookmarkStart w:id="81" w:name="_Ref176948038"/>
      <w:r>
        <w:rPr/>
        <w:fldChar w:fldCharType="begin"/>
      </w:r>
      <w:r>
        <w:rPr/>
        <w:instrText xml:space="preserve"> SEQ Grafikoa \* ARABIC </w:instrText>
      </w:r>
      <w:r>
        <w:rPr/>
        <w:fldChar w:fldCharType="separate"/>
      </w:r>
      <w:r>
        <w:rPr/>
        <w:t>18</w:t>
      </w:r>
      <w:r>
        <w:rPr/>
        <w:fldChar w:fldCharType="end"/>
      </w:r>
      <w:r>
        <w:rPr/>
        <w:t>. Grafikoa</w:t>
      </w:r>
      <w:bookmarkEnd w:id="81"/>
      <w:r>
        <w:rPr/>
        <w:t>: Bajen bilakaera jatorriko lurraldearen arabera (kop.).</w:t>
        <w:br/>
        <w:t>Pasaia 2009-2024</w:t>
      </w:r>
      <w:bookmarkEnd w:id="80"/>
    </w:p>
    <w:p>
      <w:pPr>
        <w:pStyle w:val="Iturria"/>
        <w:rPr/>
      </w:pPr>
      <w:r>
        <w:rPr/>
        <w:drawing>
          <wp:inline distT="0" distB="0" distL="0" distR="0">
            <wp:extent cx="5390515" cy="3200400"/>
            <wp:effectExtent l="0" t="0" r="0" b="0"/>
            <wp:docPr id="20" name="Imagen12" descr="Hau duen irudia testua, pantaila-argazkia, Lurrazal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2" descr="Hau duen irudia testua, pantaila-argazkia, Lurrazala, diagrama&#10;&#10;Azalpena automatikoki sortu da"/>
                    <pic:cNvPicPr>
                      <a:picLocks noChangeAspect="1" noChangeArrowheads="1"/>
                    </pic:cNvPicPr>
                  </pic:nvPicPr>
                  <pic:blipFill>
                    <a:blip r:embed="rId21"/>
                    <a:stretch>
                      <a:fillRect/>
                    </a:stretch>
                  </pic:blipFill>
                  <pic:spPr bwMode="auto">
                    <a:xfrm>
                      <a:off x="0" y="0"/>
                      <a:ext cx="5390515" cy="3200400"/>
                    </a:xfrm>
                    <a:prstGeom prst="rect">
                      <a:avLst/>
                    </a:prstGeom>
                  </pic:spPr>
                </pic:pic>
              </a:graphicData>
            </a:graphic>
          </wp:inline>
        </w:drawing>
      </w:r>
      <w:r>
        <w:rPr/>
        <w:t>Iturria: Errolda.</w:t>
      </w:r>
      <w:r>
        <w:br w:type="page"/>
      </w:r>
    </w:p>
    <w:p>
      <w:pPr>
        <w:pStyle w:val="Normal"/>
        <w:jc w:val="both"/>
        <w:rPr/>
      </w:pPr>
      <w:r>
        <w:rPr/>
        <w:t xml:space="preserve">Horiek horrela, azken hamabost urte hauei erreparatuz Pasaiak eremu ia guztiekin saldo negatiboa izan du. Salbuespen bakarra Donostialdea (1.274 pertsona irabazi) eta Espainiako estatuko gainerako lurraldeak dira da (64 pertsona irabazi). Aipagarria da, ordea, Pasaiak Oarsoaldearekin (223 pertsona galdu) eta Gipuzkoarekin (110 pertsona galdu) izan duen migrazio saldo negatiboa. Estatutik kanpoko eremuekin izandako migrazio saldoa ezin da aintzat hartu erregistro askoren datuak ez baitaude osatuta (ikus </w:t>
      </w:r>
      <w:r>
        <w:rPr/>
        <w:fldChar w:fldCharType="begin"/>
      </w:r>
      <w:r>
        <w:rPr/>
        <w:instrText xml:space="preserve"> REF _Ref176948074 \h </w:instrText>
      </w:r>
      <w:r>
        <w:rPr/>
        <w:fldChar w:fldCharType="separate"/>
      </w:r>
      <w:r>
        <w:rPr/>
        <w:t>19. Grafikoa</w:t>
      </w:r>
      <w:r>
        <w:rPr/>
        <w:fldChar w:fldCharType="end"/>
      </w:r>
      <w:r>
        <w:rPr/>
        <w:t xml:space="preserve"> eta </w:t>
      </w:r>
      <w:r>
        <w:rPr/>
        <w:fldChar w:fldCharType="begin"/>
      </w:r>
      <w:r>
        <w:rPr/>
        <w:instrText xml:space="preserve"> REF _Ref176948092 \h </w:instrText>
      </w:r>
      <w:r>
        <w:rPr/>
        <w:fldChar w:fldCharType="separate"/>
      </w:r>
      <w:r>
        <w:rPr/>
        <w:t>10. Taula</w:t>
      </w:r>
      <w:r>
        <w:rPr/>
        <w:fldChar w:fldCharType="end"/>
      </w:r>
      <w:r>
        <w:rPr/>
        <w:t xml:space="preserve">).  </w:t>
      </w:r>
    </w:p>
    <w:p>
      <w:pPr>
        <w:pStyle w:val="Normal"/>
        <w:jc w:val="both"/>
        <w:rPr>
          <w:color w:val="595959" w:themeColor="text1" w:themeTint="a6"/>
          <w:sz w:val="18"/>
          <w:szCs w:val="18"/>
        </w:rPr>
      </w:pPr>
      <w:r>
        <w:rPr/>
        <w:t>Laburbilduz, Pasaiak Donostialdearekin biztanleriaren joan-etorri harreman oso estua du, errenta maila eta etxebizitza eskuratzeko aukerekin argi lotuta dagoena. Honek, ordea, joan etorriko dinamikak eragiten ditu. Donostialdearen bilakaera prozesuan, errenta mailaren araberako mugimenduak dira, etxebizitzaren eskuragarritasunak eragindakoak.</w:t>
      </w:r>
    </w:p>
    <w:p>
      <w:pPr>
        <w:pStyle w:val="Caption"/>
        <w:rPr/>
      </w:pPr>
      <w:bookmarkStart w:id="82" w:name="_Toc191031093"/>
      <w:bookmarkStart w:id="83" w:name="_Ref176948074"/>
      <w:r>
        <w:rPr/>
        <w:fldChar w:fldCharType="begin"/>
      </w:r>
      <w:r>
        <w:rPr/>
        <w:instrText xml:space="preserve"> SEQ Grafikoa \* ARABIC </w:instrText>
      </w:r>
      <w:r>
        <w:rPr/>
        <w:fldChar w:fldCharType="separate"/>
      </w:r>
      <w:r>
        <w:rPr/>
        <w:t>19</w:t>
      </w:r>
      <w:r>
        <w:rPr/>
        <w:fldChar w:fldCharType="end"/>
      </w:r>
      <w:r>
        <w:rPr/>
        <w:t>. Grafikoa</w:t>
      </w:r>
      <w:bookmarkEnd w:id="83"/>
      <w:r>
        <w:rPr/>
        <w:t>: Alta eta bajen fluxua jatorriko eta helmugako lurraldearen arabera (kop.).</w:t>
        <w:br/>
        <w:t>Pasaia, 2009-2024</w:t>
      </w:r>
      <w:bookmarkEnd w:id="82"/>
    </w:p>
    <w:p>
      <w:pPr>
        <w:pStyle w:val="Normal"/>
        <w:rPr/>
      </w:pPr>
      <w:r>
        <w:rPr/>
        <w:drawing>
          <wp:inline distT="0" distB="0" distL="0" distR="0">
            <wp:extent cx="5400040" cy="5400040"/>
            <wp:effectExtent l="0" t="0" r="0" b="0"/>
            <wp:docPr id="21" name="Imagen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13" descr=""/>
                    <pic:cNvPicPr>
                      <a:picLocks noChangeAspect="1" noChangeArrowheads="1"/>
                    </pic:cNvPicPr>
                  </pic:nvPicPr>
                  <pic:blipFill>
                    <a:blip r:embed="rId22"/>
                    <a:stretch>
                      <a:fillRect/>
                    </a:stretch>
                  </pic:blipFill>
                  <pic:spPr bwMode="auto">
                    <a:xfrm>
                      <a:off x="0" y="0"/>
                      <a:ext cx="5400040" cy="5400040"/>
                    </a:xfrm>
                    <a:prstGeom prst="rect">
                      <a:avLst/>
                    </a:prstGeom>
                  </pic:spPr>
                </pic:pic>
              </a:graphicData>
            </a:graphic>
          </wp:inline>
        </w:drawing>
      </w:r>
    </w:p>
    <w:p>
      <w:pPr>
        <w:pStyle w:val="Iturria"/>
        <w:rPr/>
      </w:pPr>
      <w:r>
        <w:rPr/>
        <w:t>Iturria: Errolda.</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84" w:name="_Toc191031153"/>
      <w:bookmarkStart w:id="85" w:name="_Ref176948092"/>
      <w:r>
        <w:rPr/>
        <w:fldChar w:fldCharType="begin"/>
      </w:r>
      <w:r>
        <w:rPr/>
        <w:instrText xml:space="preserve"> SEQ Taula \* ARABIC </w:instrText>
      </w:r>
      <w:r>
        <w:rPr/>
        <w:fldChar w:fldCharType="separate"/>
      </w:r>
      <w:r>
        <w:rPr/>
        <w:t>10</w:t>
      </w:r>
      <w:r>
        <w:rPr/>
        <w:fldChar w:fldCharType="end"/>
      </w:r>
      <w:r>
        <w:rPr/>
        <w:t>. Taula</w:t>
      </w:r>
      <w:bookmarkEnd w:id="85"/>
      <w:r>
        <w:rPr/>
        <w:t>: Alta eta bajen fluxua jatorriko eta helmugako lurraldearen arabera (kop.).</w:t>
        <w:br/>
        <w:t>Pasaia, 2009-2024</w:t>
      </w:r>
      <w:bookmarkEnd w:id="84"/>
    </w:p>
    <w:tbl>
      <w:tblPr>
        <w:tblW w:w="396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15"/>
        <w:gridCol w:w="918"/>
        <w:gridCol w:w="916"/>
        <w:gridCol w:w="917"/>
      </w:tblGrid>
      <w:tr>
        <w:trPr>
          <w:trHeight w:val="300" w:hRule="atLeast"/>
        </w:trPr>
        <w:tc>
          <w:tcPr>
            <w:tcW w:w="121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1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Altak</w:t>
            </w:r>
          </w:p>
        </w:tc>
        <w:tc>
          <w:tcPr>
            <w:tcW w:w="91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Bajak</w:t>
            </w:r>
          </w:p>
        </w:tc>
        <w:tc>
          <w:tcPr>
            <w:tcW w:w="917"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Saldoa</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2.142</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2.365</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-223</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7.590</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6.316</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1.274</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1.501</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1.611</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-110</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329</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358</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-29</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Espainia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2.010</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1.946</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64</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Europa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269</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-224</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Amerika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104</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-77</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Afrika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-6</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Asia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-15</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Ozeania</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FF0000"/>
                <w:kern w:val="0"/>
                <w:sz w:val="20"/>
                <w:szCs w:val="20"/>
                <w:lang w:eastAsia="eu-ES"/>
                <w14:ligatures w14:val="none"/>
              </w:rPr>
            </w:pPr>
            <w:r>
              <w:rPr>
                <w:rFonts w:eastAsia="Times New Roman" w:cs="Calibri Light"/>
                <w:b/>
                <w:bCs/>
                <w:color w:val="FF0000"/>
                <w:kern w:val="0"/>
                <w:sz w:val="20"/>
                <w:szCs w:val="20"/>
                <w:lang w:eastAsia="eu-ES"/>
                <w14:ligatures w14:val="none"/>
              </w:rPr>
              <w:t>-3</w:t>
            </w:r>
          </w:p>
        </w:tc>
      </w:tr>
      <w:tr>
        <w:trPr>
          <w:trHeight w:val="300" w:hRule="atLeast"/>
        </w:trPr>
        <w:tc>
          <w:tcPr>
            <w:tcW w:w="12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Daturik ez</w:t>
            </w:r>
          </w:p>
        </w:tc>
        <w:tc>
          <w:tcPr>
            <w:tcW w:w="9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2.865</w:t>
            </w:r>
          </w:p>
        </w:tc>
        <w:tc>
          <w:tcPr>
            <w:tcW w:w="91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2.018</w:t>
            </w:r>
          </w:p>
        </w:tc>
        <w:tc>
          <w:tcPr>
            <w:tcW w:w="9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850</w:t>
            </w:r>
          </w:p>
        </w:tc>
      </w:tr>
      <w:tr>
        <w:trPr>
          <w:trHeight w:val="300" w:hRule="atLeast"/>
        </w:trPr>
        <w:tc>
          <w:tcPr>
            <w:tcW w:w="1215"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1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16.521</w:t>
            </w:r>
          </w:p>
        </w:tc>
        <w:tc>
          <w:tcPr>
            <w:tcW w:w="91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15.020</w:t>
            </w:r>
          </w:p>
        </w:tc>
        <w:tc>
          <w:tcPr>
            <w:tcW w:w="917"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1.501</w:t>
            </w:r>
          </w:p>
        </w:tc>
      </w:tr>
    </w:tbl>
    <w:p>
      <w:pPr>
        <w:pStyle w:val="Iturria"/>
        <w:rPr/>
      </w:pPr>
      <w:r>
        <w:rPr/>
        <w:t>Iturria: Errolda.</w:t>
      </w:r>
    </w:p>
    <w:p>
      <w:pPr>
        <w:pStyle w:val="Iturria"/>
        <w:rPr/>
      </w:pPr>
      <w:r>
        <w:rPr/>
      </w:r>
    </w:p>
    <w:p>
      <w:pPr>
        <w:pStyle w:val="Iturria"/>
        <w:rPr/>
      </w:pPr>
      <w:r>
        <w:rPr/>
      </w:r>
    </w:p>
    <w:p>
      <w:pPr>
        <w:pStyle w:val="Iturria"/>
        <w:rPr/>
      </w:pPr>
      <w:r>
        <w:rPr/>
      </w:r>
    </w:p>
    <w:p>
      <w:pPr>
        <w:pStyle w:val="Iturria"/>
        <w:rPr/>
      </w:pPr>
      <w:r>
        <w:rPr/>
      </w:r>
    </w:p>
    <w:p>
      <w:pPr>
        <w:pStyle w:val="Iturria"/>
        <w:rPr/>
      </w:pPr>
      <w:r>
        <w:rPr/>
      </w:r>
    </w:p>
    <w:p>
      <w:pPr>
        <w:pStyle w:val="Iturria"/>
        <w:rPr/>
      </w:pPr>
      <w:r>
        <w:rPr/>
      </w:r>
    </w:p>
    <w:p>
      <w:pPr>
        <w:pStyle w:val="Iturria"/>
        <w:rPr/>
      </w:pPr>
      <w:r>
        <w:rPr/>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Ttulo2"/>
        <w:rPr/>
      </w:pPr>
      <w:bookmarkStart w:id="86" w:name="_Toc191031043"/>
      <w:r>
        <w:rPr/>
        <w:t>Prospektiba</w:t>
      </w:r>
      <w:bookmarkEnd w:id="86"/>
    </w:p>
    <w:p>
      <w:pPr>
        <w:pStyle w:val="Normal"/>
        <w:jc w:val="both"/>
        <w:rPr/>
      </w:pPr>
      <w:bookmarkStart w:id="87" w:name="_Ref176948113"/>
      <w:r>
        <w:rPr/>
        <w:t>Pasaiako biztanle hazkundearen prospektiba ariketa bat egin da azken urteetako ugalkortasun-tasak, heriotza-tasak eta migrazio-saldoak aintzat hartuta. Esan gabe doa dinamika horiek testuinguruaren baitan oso aldakorrak izan daitezkeela, migrazio-saldoa bereziki. Etxebizitza eskaintzak, esaterako, eragin zuzena du erakarpen horretan, eta, ondorioz, prospektibaren aurreikuspenetan eragin dezake. Pasaiaren kasuan etorkizuneko testuinguru desberdinak aztertu dira, baina datu zehatzak eskaintzeari begira Eustatek baliatzen dituen migrazio saldoak baliatu dira.</w:t>
      </w:r>
    </w:p>
    <w:p>
      <w:pPr>
        <w:pStyle w:val="Normal"/>
        <w:jc w:val="both"/>
        <w:rPr/>
      </w:pPr>
      <w:r>
        <w:rPr/>
        <w:t xml:space="preserve">Nolanahi ere, hurrengo 15 urteetan Pasaiako biztanleriaren %7,1eko hazkundea aurreikusten da eta 17.963 biztanle inguru izatera iritsiko litzateke. Hau da, udalerriak gaur egun baino 1.300 bat biztanle gehiago izatera hel daiteke. Arrazoia argia da: migrazio saldo positiboa. Izan ere, biztanleriaren bilakaera naturala bakarrik aintzat hartuko balit, hau da, jaiotzak eta heriotzak, udalerriaren hazkundea negatiboa izango litzateke, biztanleriaren ia %10 galduz (ikus </w:t>
      </w:r>
      <w:r>
        <w:rPr/>
        <w:fldChar w:fldCharType="begin"/>
      </w:r>
      <w:r>
        <w:rPr/>
        <w:instrText xml:space="preserve"> REF _Ref190689315 \h </w:instrText>
      </w:r>
      <w:r>
        <w:rPr/>
        <w:fldChar w:fldCharType="separate"/>
      </w:r>
      <w:r>
        <w:rPr/>
        <w:t>20. Grafikoa</w:t>
      </w:r>
      <w:r>
        <w:rPr/>
        <w:fldChar w:fldCharType="end"/>
      </w:r>
      <w:r>
        <w:rPr/>
        <w:t xml:space="preserve"> eta </w:t>
      </w:r>
      <w:r>
        <w:rPr/>
        <w:fldChar w:fldCharType="begin"/>
      </w:r>
      <w:r>
        <w:rPr/>
        <w:instrText xml:space="preserve"> REF _Ref190689361 \h </w:instrText>
      </w:r>
      <w:r>
        <w:rPr/>
        <w:fldChar w:fldCharType="separate"/>
      </w:r>
      <w:r>
        <w:rPr/>
        <w:t>11. Taula</w:t>
      </w:r>
      <w:r>
        <w:rPr/>
        <w:fldChar w:fldCharType="end"/>
      </w:r>
      <w:r>
        <w:rPr/>
        <w:t xml:space="preserve">).    </w:t>
      </w:r>
    </w:p>
    <w:p>
      <w:pPr>
        <w:pStyle w:val="Caption"/>
        <w:rPr/>
      </w:pPr>
      <w:bookmarkStart w:id="88" w:name="_Toc191031094"/>
      <w:bookmarkStart w:id="89" w:name="_Ref190689315"/>
      <w:r>
        <w:rPr/>
        <w:fldChar w:fldCharType="begin"/>
      </w:r>
      <w:r>
        <w:rPr/>
        <w:instrText xml:space="preserve"> SEQ Grafikoa \* ARABIC </w:instrText>
      </w:r>
      <w:r>
        <w:rPr/>
        <w:fldChar w:fldCharType="separate"/>
      </w:r>
      <w:r>
        <w:rPr/>
        <w:t>20</w:t>
      </w:r>
      <w:r>
        <w:rPr/>
        <w:fldChar w:fldCharType="end"/>
      </w:r>
      <w:r>
        <w:rPr/>
        <w:t>. Grafikoa</w:t>
      </w:r>
      <w:bookmarkEnd w:id="87"/>
      <w:bookmarkEnd w:id="89"/>
      <w:r>
        <w:rPr/>
        <w:t>: Biztanleria hazkundearen prospektiba (%).</w:t>
        <w:br/>
        <w:t>Pasaia, 2000-2040</w:t>
      </w:r>
      <w:bookmarkEnd w:id="88"/>
    </w:p>
    <w:p>
      <w:pPr>
        <w:pStyle w:val="Iturria"/>
        <w:rPr/>
      </w:pPr>
      <w:r>
        <w:rPr/>
        <w:drawing>
          <wp:inline distT="0" distB="0" distL="0" distR="0">
            <wp:extent cx="5390515" cy="3200400"/>
            <wp:effectExtent l="0" t="0" r="0" b="0"/>
            <wp:docPr id="22" name="Imagen14" descr="Hau duen irudia Lurrazala, diagrama, lerroa, testu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14" descr="Hau duen irudia Lurrazala, diagrama, lerroa, testua&#10;&#10;Azalpena automatikoki sortu da"/>
                    <pic:cNvPicPr>
                      <a:picLocks noChangeAspect="1" noChangeArrowheads="1"/>
                    </pic:cNvPicPr>
                  </pic:nvPicPr>
                  <pic:blipFill>
                    <a:blip r:embed="rId23"/>
                    <a:stretch>
                      <a:fillRect/>
                    </a:stretch>
                  </pic:blipFill>
                  <pic:spPr bwMode="auto">
                    <a:xfrm>
                      <a:off x="0" y="0"/>
                      <a:ext cx="5390515" cy="3200400"/>
                    </a:xfrm>
                    <a:prstGeom prst="rect">
                      <a:avLst/>
                    </a:prstGeom>
                  </pic:spPr>
                </pic:pic>
              </a:graphicData>
            </a:graphic>
          </wp:inline>
        </w:drawing>
      </w:r>
    </w:p>
    <w:p>
      <w:pPr>
        <w:pStyle w:val="Iturria"/>
        <w:rPr/>
      </w:pPr>
      <w:r>
        <w:rPr/>
        <w:t xml:space="preserve"> </w:t>
      </w:r>
      <w:r>
        <w:rPr/>
        <w:t>Iturria: Errolda, Eustat eta INE. Ekoizpen propioa.</w:t>
      </w:r>
    </w:p>
    <w:p>
      <w:pPr>
        <w:pStyle w:val="Normal"/>
        <w:jc w:val="both"/>
        <w:rPr/>
      </w:pPr>
      <w:r>
        <w:rPr/>
        <w:t xml:space="preserve">Prozesu horretan Pasaiako biztanleriaren adin egiturak aldaketa batzuk izango ditu. Izan ere, oraingo joera mantenduz gero, 20-34 urte bitarteko pertsonen ehunekoa (%16,6) eta 65 urtetik gorako pertsonen ehunekoa (%22,4) lau eta bost puntu artean haziko dira. Batetik, udalerrian gaur egun baino 839 bat gazte gehiago egongo dira, baina adineko pertsonen kopurua ere asko handituko da (1.095 pertsona gehiago). Bestalde, 0-19 urte bitarteko pertsonen tasak (%16,5) ia hiru puntu egingo du behera, 35-49 urteko pertsonen tasak (%20,1) berdintsu jarraituko du. Aurreikuspen honekin 15 urte barru ugaltzeko adinean dagoen pertsonen multzoak indarra hartuko du eta udalerriko biztanleriaren biziberritzeari begira abiapuntu baliagarria da (ikus </w:t>
      </w:r>
      <w:r>
        <w:rPr/>
        <w:fldChar w:fldCharType="begin"/>
      </w:r>
      <w:r>
        <w:rPr/>
        <w:instrText xml:space="preserve"> REF _Ref176948166 \h </w:instrText>
      </w:r>
      <w:r>
        <w:rPr/>
        <w:fldChar w:fldCharType="separate"/>
      </w:r>
      <w:r>
        <w:rPr/>
        <w:t>21. Grafikoa</w:t>
      </w:r>
      <w:r>
        <w:rPr/>
        <w:fldChar w:fldCharType="end"/>
      </w:r>
      <w:r>
        <w:rPr/>
        <w:t xml:space="preserve">, </w:t>
      </w:r>
      <w:r>
        <w:rPr/>
        <w:fldChar w:fldCharType="begin"/>
      </w:r>
      <w:r>
        <w:rPr/>
        <w:instrText xml:space="preserve"> REF _Ref176948172 \h </w:instrText>
      </w:r>
      <w:r>
        <w:rPr/>
        <w:fldChar w:fldCharType="separate"/>
      </w:r>
      <w:r>
        <w:rPr/>
        <w:t>22. Grafikoa</w:t>
      </w:r>
      <w:r>
        <w:rPr/>
        <w:fldChar w:fldCharType="end"/>
      </w:r>
      <w:r>
        <w:rPr/>
        <w:t xml:space="preserve">, </w:t>
      </w:r>
      <w:r>
        <w:rPr/>
        <w:fldChar w:fldCharType="begin"/>
      </w:r>
      <w:r>
        <w:rPr/>
        <w:instrText xml:space="preserve"> REF _Ref176948180 \h </w:instrText>
      </w:r>
      <w:r>
        <w:rPr/>
        <w:fldChar w:fldCharType="separate"/>
      </w:r>
      <w:r>
        <w:rPr/>
        <w:t>23. Grafikoa</w:t>
      </w:r>
      <w:r>
        <w:rPr/>
        <w:fldChar w:fldCharType="end"/>
      </w:r>
      <w:r>
        <w:rPr/>
        <w:t xml:space="preserve"> eta </w:t>
      </w:r>
      <w:r>
        <w:rPr/>
        <w:fldChar w:fldCharType="begin"/>
      </w:r>
      <w:r>
        <w:rPr/>
        <w:instrText xml:space="preserve"> REF _Ref176947513 \h </w:instrText>
      </w:r>
      <w:r>
        <w:rPr/>
        <w:fldChar w:fldCharType="separate"/>
      </w:r>
      <w:r>
        <w:rPr/>
        <w:t>6. Taula</w:t>
      </w:r>
      <w:r>
        <w:rPr/>
        <w:fldChar w:fldCharType="end"/>
      </w:r>
      <w:r>
        <w:rPr/>
        <w:t>).</w:t>
      </w:r>
    </w:p>
    <w:p>
      <w:pPr>
        <w:pStyle w:val="Iturria"/>
        <w:rPr/>
      </w:pPr>
      <w:r>
        <w:rPr/>
      </w:r>
    </w:p>
    <w:p>
      <w:pPr>
        <w:pStyle w:val="Caption"/>
        <w:rPr/>
      </w:pPr>
      <w:bookmarkStart w:id="90" w:name="_Toc191031095"/>
      <w:bookmarkStart w:id="91" w:name="_Ref176948166"/>
      <w:r>
        <w:rPr/>
        <w:fldChar w:fldCharType="begin"/>
      </w:r>
      <w:r>
        <w:rPr/>
        <w:instrText xml:space="preserve"> SEQ Grafikoa \* ARABIC </w:instrText>
      </w:r>
      <w:r>
        <w:rPr/>
        <w:fldChar w:fldCharType="separate"/>
      </w:r>
      <w:r>
        <w:rPr/>
        <w:t>21</w:t>
      </w:r>
      <w:r>
        <w:rPr/>
        <w:fldChar w:fldCharType="end"/>
      </w:r>
      <w:r>
        <w:rPr/>
        <w:t>. Grafikoa</w:t>
      </w:r>
      <w:bookmarkEnd w:id="91"/>
      <w:r>
        <w:rPr/>
        <w:t>: Biztanleria prospektibaren piramide demografikoa (kop.).</w:t>
        <w:br/>
        <w:t>Pasaia, 2025-2040</w:t>
      </w:r>
      <w:bookmarkEnd w:id="90"/>
    </w:p>
    <w:p>
      <w:pPr>
        <w:pStyle w:val="Normal"/>
        <w:jc w:val="right"/>
        <w:rPr/>
      </w:pPr>
      <w:r>
        <w:rPr/>
        <w:drawing>
          <wp:inline distT="0" distB="0" distL="0" distR="0">
            <wp:extent cx="5390515" cy="3200400"/>
            <wp:effectExtent l="0" t="0" r="0" b="0"/>
            <wp:docPr id="23" name="Imagen15" descr="Hau duen irudia testua, diagrama, pantaila-argazkia, Lurrazal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15" descr="Hau duen irudia testua, diagrama, pantaila-argazkia, Lurrazala&#10;&#10;Azalpena automatikoki sortu da"/>
                    <pic:cNvPicPr>
                      <a:picLocks noChangeAspect="1" noChangeArrowheads="1"/>
                    </pic:cNvPicPr>
                  </pic:nvPicPr>
                  <pic:blipFill>
                    <a:blip r:embed="rId24"/>
                    <a:stretch>
                      <a:fillRect/>
                    </a:stretch>
                  </pic:blipFill>
                  <pic:spPr bwMode="auto">
                    <a:xfrm>
                      <a:off x="0" y="0"/>
                      <a:ext cx="5390515" cy="3200400"/>
                    </a:xfrm>
                    <a:prstGeom prst="rect">
                      <a:avLst/>
                    </a:prstGeom>
                  </pic:spPr>
                </pic:pic>
              </a:graphicData>
            </a:graphic>
          </wp:inline>
        </w:drawing>
      </w:r>
      <w:r>
        <w:rPr/>
        <w:t xml:space="preserve"> </w:t>
      </w:r>
      <w:r>
        <w:rPr>
          <w:color w:val="595959" w:themeColor="text1" w:themeTint="a6"/>
          <w:sz w:val="18"/>
          <w:szCs w:val="18"/>
        </w:rPr>
        <w:t>Iturria: Errolda eta INE. Ekoizpen propioa.</w:t>
      </w:r>
    </w:p>
    <w:p>
      <w:pPr>
        <w:pStyle w:val="Normal"/>
        <w:rPr/>
      </w:pPr>
      <w:r>
        <w:rPr/>
      </w:r>
    </w:p>
    <w:p>
      <w:pPr>
        <w:pStyle w:val="Caption"/>
        <w:rPr/>
      </w:pPr>
      <w:bookmarkStart w:id="92" w:name="_Toc191031154"/>
      <w:bookmarkStart w:id="93" w:name="_Ref190689361"/>
      <w:r>
        <w:rPr/>
        <w:fldChar w:fldCharType="begin"/>
      </w:r>
      <w:r>
        <w:rPr/>
        <w:instrText xml:space="preserve"> SEQ Taula \* ARABIC </w:instrText>
      </w:r>
      <w:r>
        <w:rPr/>
        <w:fldChar w:fldCharType="separate"/>
      </w:r>
      <w:r>
        <w:rPr/>
        <w:t>11</w:t>
      </w:r>
      <w:r>
        <w:rPr/>
        <w:fldChar w:fldCharType="end"/>
      </w:r>
      <w:r>
        <w:rPr/>
        <w:t>. Taula</w:t>
      </w:r>
      <w:bookmarkEnd w:id="93"/>
      <w:r>
        <w:rPr/>
        <w:t>: Biztanleriaren prospektiba adinaren arabera (kop.).</w:t>
        <w:br/>
        <w:t>Pasaia, 2025-2040</w:t>
      </w:r>
      <w:bookmarkEnd w:id="92"/>
    </w:p>
    <w:tbl>
      <w:tblPr>
        <w:tblW w:w="652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385"/>
        <w:gridCol w:w="1308"/>
        <w:gridCol w:w="1275"/>
        <w:gridCol w:w="1276"/>
        <w:gridCol w:w="1277"/>
      </w:tblGrid>
      <w:tr>
        <w:trPr>
          <w:trHeight w:val="300" w:hRule="atLeast"/>
        </w:trPr>
        <w:tc>
          <w:tcPr>
            <w:tcW w:w="138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Adina</w:t>
            </w:r>
          </w:p>
        </w:tc>
        <w:tc>
          <w:tcPr>
            <w:tcW w:w="130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c>
          <w:tcPr>
            <w:tcW w:w="127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2030</w:t>
            </w:r>
          </w:p>
        </w:tc>
        <w:tc>
          <w:tcPr>
            <w:tcW w:w="127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2035</w:t>
            </w:r>
          </w:p>
        </w:tc>
        <w:tc>
          <w:tcPr>
            <w:tcW w:w="1277"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2040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0-19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2.756</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2.588</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2.481</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2.474</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20-34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2.771</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3.243</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3.548</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3.610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35-49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3.354</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3.006</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3.127</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3.631</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50-64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4.048</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4.222</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3.966</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3.423</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65-79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2.412</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2.660</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3.116</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3.523</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r>
              <w:rPr>
                <w:rFonts w:eastAsia="Times New Roman" w:cs="Calibri Light"/>
                <w:color w:val="000000"/>
                <w:kern w:val="0"/>
                <w:sz w:val="20"/>
                <w:szCs w:val="20"/>
                <w:lang w:eastAsia="eu-ES"/>
                <w14:ligatures w14:val="none"/>
              </w:rPr>
              <w:t>80 urte</w:t>
            </w:r>
          </w:p>
        </w:tc>
        <w:tc>
          <w:tcPr>
            <w:tcW w:w="130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1.318</w:t>
            </w:r>
          </w:p>
        </w:tc>
        <w:tc>
          <w:tcPr>
            <w:tcW w:w="12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1.323</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1.244</w:t>
            </w:r>
          </w:p>
        </w:tc>
        <w:tc>
          <w:tcPr>
            <w:tcW w:w="127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1.302</w:t>
            </w:r>
          </w:p>
        </w:tc>
      </w:tr>
      <w:tr>
        <w:trPr>
          <w:trHeight w:val="300" w:hRule="atLeast"/>
        </w:trPr>
        <w:tc>
          <w:tcPr>
            <w:tcW w:w="1385"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30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16.659</w:t>
            </w:r>
          </w:p>
        </w:tc>
        <w:tc>
          <w:tcPr>
            <w:tcW w:w="127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17.042</w:t>
            </w:r>
          </w:p>
        </w:tc>
        <w:tc>
          <w:tcPr>
            <w:tcW w:w="127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17.482</w:t>
            </w:r>
          </w:p>
        </w:tc>
        <w:tc>
          <w:tcPr>
            <w:tcW w:w="1277"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17.963</w:t>
            </w:r>
          </w:p>
        </w:tc>
      </w:tr>
    </w:tbl>
    <w:p>
      <w:pPr>
        <w:pStyle w:val="Iturria"/>
        <w:rPr/>
      </w:pPr>
      <w:r>
        <w:rPr/>
        <w:t>Iturria: Errolda eta INE. Ekoizpen propioa.</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94" w:name="_Toc191031096"/>
      <w:bookmarkStart w:id="95" w:name="_Ref176948172"/>
      <w:r>
        <w:rPr/>
        <w:fldChar w:fldCharType="begin"/>
      </w:r>
      <w:r>
        <w:rPr/>
        <w:instrText xml:space="preserve"> SEQ Grafikoa \* ARABIC </w:instrText>
      </w:r>
      <w:r>
        <w:rPr/>
        <w:fldChar w:fldCharType="separate"/>
      </w:r>
      <w:r>
        <w:rPr/>
        <w:t>22</w:t>
      </w:r>
      <w:r>
        <w:rPr/>
        <w:fldChar w:fldCharType="end"/>
      </w:r>
      <w:r>
        <w:rPr/>
        <w:t>. Grafikoa</w:t>
      </w:r>
      <w:bookmarkEnd w:id="95"/>
      <w:r>
        <w:rPr/>
        <w:t>: Zahartze tasaren bilakaeraren prospektiba (%).</w:t>
        <w:br/>
        <w:t>Pasaia, 2000-2040</w:t>
      </w:r>
      <w:bookmarkEnd w:id="94"/>
    </w:p>
    <w:p>
      <w:pPr>
        <w:pStyle w:val="Iturria"/>
        <w:rPr/>
      </w:pPr>
      <w:r>
        <w:rPr/>
        <w:drawing>
          <wp:inline distT="0" distB="0" distL="0" distR="0">
            <wp:extent cx="5390515" cy="3200400"/>
            <wp:effectExtent l="0" t="0" r="0" b="0"/>
            <wp:docPr id="24" name="Imagen16" descr="Hau duen irudia testua, Lurrazala, diagram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16" descr="Hau duen irudia testua, Lurrazala, diagrama, lerroa&#10;&#10;Azalpena automatikoki sortu da"/>
                    <pic:cNvPicPr>
                      <a:picLocks noChangeAspect="1" noChangeArrowheads="1"/>
                    </pic:cNvPicPr>
                  </pic:nvPicPr>
                  <pic:blipFill>
                    <a:blip r:embed="rId25"/>
                    <a:stretch>
                      <a:fillRect/>
                    </a:stretch>
                  </pic:blipFill>
                  <pic:spPr bwMode="auto">
                    <a:xfrm>
                      <a:off x="0" y="0"/>
                      <a:ext cx="5390515" cy="3200400"/>
                    </a:xfrm>
                    <a:prstGeom prst="rect">
                      <a:avLst/>
                    </a:prstGeom>
                  </pic:spPr>
                </pic:pic>
              </a:graphicData>
            </a:graphic>
          </wp:inline>
        </w:drawing>
      </w:r>
      <w:r>
        <w:rPr/>
        <w:t xml:space="preserve"> </w:t>
      </w:r>
      <w:r>
        <w:rPr/>
        <w:t>Iturria: Errolda, Eustat eta INE. Ekoizpen propioa.</w:t>
      </w:r>
    </w:p>
    <w:p>
      <w:pPr>
        <w:pStyle w:val="Iturria"/>
        <w:rPr/>
      </w:pPr>
      <w:r>
        <w:rPr/>
      </w:r>
    </w:p>
    <w:p>
      <w:pPr>
        <w:pStyle w:val="Caption"/>
        <w:rPr/>
      </w:pPr>
      <w:bookmarkStart w:id="96" w:name="_Toc191031097"/>
      <w:bookmarkStart w:id="97" w:name="_Ref176948180"/>
      <w:r>
        <w:rPr/>
        <w:fldChar w:fldCharType="begin"/>
      </w:r>
      <w:r>
        <w:rPr/>
        <w:instrText xml:space="preserve"> SEQ Grafikoa \* ARABIC </w:instrText>
      </w:r>
      <w:r>
        <w:rPr/>
        <w:fldChar w:fldCharType="separate"/>
      </w:r>
      <w:r>
        <w:rPr/>
        <w:t>23</w:t>
      </w:r>
      <w:r>
        <w:rPr/>
        <w:fldChar w:fldCharType="end"/>
      </w:r>
      <w:r>
        <w:rPr/>
        <w:t>. Grafikoa</w:t>
      </w:r>
      <w:bookmarkEnd w:id="97"/>
      <w:r>
        <w:rPr/>
        <w:t>: 0-19 urte bitarteko pertsonen tasaren bilakaeraren prospektiba (%).</w:t>
        <w:br/>
        <w:t>Pasaia, 2000-2040</w:t>
      </w:r>
      <w:bookmarkEnd w:id="96"/>
    </w:p>
    <w:p>
      <w:pPr>
        <w:pStyle w:val="Iturria"/>
        <w:rPr/>
      </w:pPr>
      <w:r>
        <w:rPr/>
        <w:drawing>
          <wp:inline distT="0" distB="0" distL="0" distR="0">
            <wp:extent cx="5390515" cy="3200400"/>
            <wp:effectExtent l="0" t="0" r="0" b="0"/>
            <wp:docPr id="25" name="Imagen17" descr="Hau duen irudia testua, Lurrazala, lerro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17" descr="Hau duen irudia testua, Lurrazala, lerroa, diagrama&#10;&#10;Azalpena automatikoki sortu da"/>
                    <pic:cNvPicPr>
                      <a:picLocks noChangeAspect="1" noChangeArrowheads="1"/>
                    </pic:cNvPicPr>
                  </pic:nvPicPr>
                  <pic:blipFill>
                    <a:blip r:embed="rId26"/>
                    <a:stretch>
                      <a:fillRect/>
                    </a:stretch>
                  </pic:blipFill>
                  <pic:spPr bwMode="auto">
                    <a:xfrm>
                      <a:off x="0" y="0"/>
                      <a:ext cx="5390515" cy="3200400"/>
                    </a:xfrm>
                    <a:prstGeom prst="rect">
                      <a:avLst/>
                    </a:prstGeom>
                  </pic:spPr>
                </pic:pic>
              </a:graphicData>
            </a:graphic>
          </wp:inline>
        </w:drawing>
      </w:r>
      <w:r>
        <w:rPr/>
        <w:t>Iturria: Errolda, Eustat eta INE. Ekoizpen propioa.</w:t>
      </w:r>
    </w:p>
    <w:p>
      <w:pPr>
        <w:pStyle w:val="Normal"/>
        <w:rPr/>
      </w:pPr>
      <w:r>
        <w:rPr/>
      </w:r>
    </w:p>
    <w:p>
      <w:pPr>
        <w:pStyle w:val="Normal"/>
        <w:rPr>
          <w:rFonts w:ascii="Montserrat" w:hAnsi="Montserrat" w:eastAsia="" w:cs="" w:cstheme="majorBidi" w:eastAsiaTheme="majorEastAsia"/>
          <w:b/>
          <w:bCs/>
          <w:sz w:val="36"/>
          <w:szCs w:val="36"/>
        </w:rPr>
      </w:pPr>
      <w:r>
        <w:rPr>
          <w:rFonts w:eastAsia="" w:cs="" w:cstheme="majorBidi" w:eastAsiaTheme="majorEastAsia" w:ascii="Montserrat" w:hAnsi="Montserrat"/>
          <w:b/>
          <w:bCs/>
          <w:sz w:val="36"/>
          <w:szCs w:val="36"/>
        </w:rPr>
      </w:r>
      <w:r>
        <w:br w:type="page"/>
      </w:r>
    </w:p>
    <w:p>
      <w:pPr>
        <w:pStyle w:val="Ttulo1"/>
        <w:rPr/>
      </w:pPr>
      <w:bookmarkStart w:id="98" w:name="_Toc191031044"/>
      <w:r>
        <w:rPr/>
        <w:t>Bizikidetza-unitateak</w:t>
      </w:r>
      <w:bookmarkEnd w:id="98"/>
    </w:p>
    <w:p>
      <w:pPr>
        <w:pStyle w:val="Normal"/>
        <w:jc w:val="both"/>
        <w:rPr/>
      </w:pPr>
      <w:r>
        <w:rPr/>
        <w:t xml:space="preserve">Egitura demografikoak bizikidetza-unitateetan du isla. Izan ere, etxebizitza parkeak dituen aukeren baitan biztanleria non eta nola antolatzen den ezaugarritzen dute. Atal honetan etxebizitzek duten erabilera (non, nor, zenbat, nolakoak) eta gazteen emantzipazio maila aztertzen da. 18-34 urte bitarteko gazteen egoera erresidentzialari arreta berezia jartzen zaio. </w:t>
      </w:r>
    </w:p>
    <w:p>
      <w:pPr>
        <w:pStyle w:val="Normal"/>
        <w:jc w:val="both"/>
        <w:rPr/>
      </w:pPr>
      <w:r>
        <w:rPr/>
        <w:t>Izan ere, bizikidetza-unitateen tipologiak eta gazteen emantzipazio gaitasunak eragin zuzena dute udalerriko etxebizitza parkearen erabilera mailan, gaur egungoan eta etorkizunekoan.</w:t>
      </w:r>
    </w:p>
    <w:p>
      <w:pPr>
        <w:pStyle w:val="Ttulo2"/>
        <w:rPr/>
      </w:pPr>
      <w:bookmarkStart w:id="99" w:name="_Toc191031045"/>
      <w:r>
        <w:rPr/>
        <w:t>Aldagai nagusiak</w:t>
      </w:r>
      <w:bookmarkEnd w:id="99"/>
    </w:p>
    <w:p>
      <w:pPr>
        <w:pStyle w:val="Normal"/>
        <w:jc w:val="both"/>
        <w:rPr/>
      </w:pPr>
      <w:r>
        <w:rPr/>
        <w:t xml:space="preserve">Pasaiako bizikidetza-unitateen kopuruak gora egin du azken urteetan. 2009-2024 urteen artean bizikidetza-unitateak 6.434 izatetik 7.052 izatera igaro dira, 618 unitate gehiago, %8,8ko hazkundea, alegia. Bizikidetza-unitate kopuruaren igoera azken urteetako biztanleriaren hazkundeari eta bizikidetza-unitateen tamaina txikitzeari zor zaio. Izan ere, azken urteetan etxebizitza batean bizi den batez besteko pertsona kopurua txikituz joan da, 2009an 2,48 izatetik 2024ean 2,36 izatera iritsi arte. Hau da, gaur egun pertsona kopuru berdinarentzat duela urte batzuk baino etxebizitza kopuru handiagoa behar da, eta, ondorioz, etxebizitza parkearen gaineko presioa handitu egin da (ikus </w:t>
      </w:r>
      <w:r>
        <w:rPr/>
        <w:fldChar w:fldCharType="begin"/>
      </w:r>
      <w:r>
        <w:rPr/>
        <w:instrText xml:space="preserve"> REF _Ref176948236 \h </w:instrText>
      </w:r>
      <w:r>
        <w:rPr/>
        <w:fldChar w:fldCharType="separate"/>
      </w:r>
      <w:r>
        <w:rPr/>
        <w:t>24. Grafikoa</w:t>
      </w:r>
      <w:r>
        <w:rPr/>
        <w:fldChar w:fldCharType="end"/>
      </w:r>
      <w:r>
        <w:rPr/>
        <w:t xml:space="preserve">, </w:t>
      </w:r>
      <w:r>
        <w:rPr/>
        <w:fldChar w:fldCharType="begin"/>
      </w:r>
      <w:r>
        <w:rPr/>
        <w:instrText xml:space="preserve"> REF _Ref176948241 \h </w:instrText>
      </w:r>
      <w:r>
        <w:rPr/>
        <w:fldChar w:fldCharType="separate"/>
      </w:r>
      <w:r>
        <w:rPr/>
        <w:t>25. Grafikoa</w:t>
      </w:r>
      <w:r>
        <w:rPr/>
        <w:fldChar w:fldCharType="end"/>
      </w:r>
      <w:r>
        <w:rPr/>
        <w:t xml:space="preserve"> eta </w:t>
      </w:r>
      <w:r>
        <w:rPr/>
        <w:fldChar w:fldCharType="begin"/>
      </w:r>
      <w:r>
        <w:rPr/>
        <w:instrText xml:space="preserve"> REF _Ref176948251 \h </w:instrText>
      </w:r>
      <w:r>
        <w:rPr/>
        <w:fldChar w:fldCharType="separate"/>
      </w:r>
      <w:r>
        <w:rPr/>
        <w:t>12. Taula</w:t>
      </w:r>
      <w:r>
        <w:rPr/>
        <w:fldChar w:fldCharType="end"/>
      </w:r>
      <w:r>
        <w:rPr/>
        <w:t>).</w:t>
      </w:r>
    </w:p>
    <w:p>
      <w:pPr>
        <w:pStyle w:val="Normal"/>
        <w:jc w:val="both"/>
        <w:rPr/>
      </w:pPr>
      <w:r>
        <w:rPr/>
      </w:r>
    </w:p>
    <w:p>
      <w:pPr>
        <w:pStyle w:val="Caption"/>
        <w:rPr/>
      </w:pPr>
      <w:bookmarkStart w:id="100" w:name="_Hlk168562906"/>
      <w:bookmarkStart w:id="101" w:name="_Toc191031098"/>
      <w:bookmarkStart w:id="102" w:name="_Ref176948236"/>
      <w:r>
        <w:rPr/>
        <w:fldChar w:fldCharType="begin"/>
      </w:r>
      <w:r>
        <w:rPr/>
        <w:instrText xml:space="preserve"> SEQ Grafikoa \* ARABIC </w:instrText>
      </w:r>
      <w:r>
        <w:rPr/>
        <w:fldChar w:fldCharType="separate"/>
      </w:r>
      <w:r>
        <w:rPr/>
        <w:t>24</w:t>
      </w:r>
      <w:r>
        <w:rPr/>
        <w:fldChar w:fldCharType="end"/>
      </w:r>
      <w:r>
        <w:rPr/>
        <w:t>. Grafikoa</w:t>
      </w:r>
      <w:bookmarkEnd w:id="102"/>
      <w:r>
        <w:rPr/>
        <w:t xml:space="preserve"> Bizikidetza-unitateen hazkundea (%).</w:t>
        <w:br/>
        <w:t>Pasaia, 2009-2025</w:t>
      </w:r>
      <w:bookmarkEnd w:id="100"/>
      <w:bookmarkEnd w:id="101"/>
    </w:p>
    <w:p>
      <w:pPr>
        <w:pStyle w:val="Normal"/>
        <w:jc w:val="right"/>
        <w:rPr>
          <w:color w:val="595959" w:themeColor="text1" w:themeTint="a6"/>
          <w:sz w:val="18"/>
          <w:szCs w:val="18"/>
        </w:rPr>
      </w:pPr>
      <w:r>
        <w:rPr/>
        <w:drawing>
          <wp:inline distT="0" distB="0" distL="0" distR="0">
            <wp:extent cx="5390515" cy="3200400"/>
            <wp:effectExtent l="0" t="0" r="0" b="0"/>
            <wp:docPr id="26" name="Imagen18" descr="Hau duen irudia diagrama, Lurrazala, lerroa, testu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18" descr="Hau duen irudia diagrama, Lurrazala, lerroa, testua&#10;&#10;Azalpena automatikoki sortu da"/>
                    <pic:cNvPicPr>
                      <a:picLocks noChangeAspect="1" noChangeArrowheads="1"/>
                    </pic:cNvPicPr>
                  </pic:nvPicPr>
                  <pic:blipFill>
                    <a:blip r:embed="rId27"/>
                    <a:stretch>
                      <a:fillRect/>
                    </a:stretch>
                  </pic:blipFill>
                  <pic:spPr bwMode="auto">
                    <a:xfrm>
                      <a:off x="0" y="0"/>
                      <a:ext cx="5390515" cy="3200400"/>
                    </a:xfrm>
                    <a:prstGeom prst="rect">
                      <a:avLst/>
                    </a:prstGeom>
                  </pic:spPr>
                </pic:pic>
              </a:graphicData>
            </a:graphic>
          </wp:inline>
        </w:drawing>
      </w:r>
    </w:p>
    <w:p>
      <w:pPr>
        <w:pStyle w:val="Normal"/>
        <w:jc w:val="right"/>
        <w:rPr>
          <w:rStyle w:val="IturriaKar"/>
        </w:rPr>
      </w:pPr>
      <w:r>
        <w:rPr>
          <w:rStyle w:val="IturriaKar"/>
        </w:rPr>
        <w:t>Iturria: Errolda.</w:t>
      </w:r>
    </w:p>
    <w:p>
      <w:pPr>
        <w:pStyle w:val="Normal"/>
        <w:jc w:val="right"/>
        <w:rPr>
          <w:color w:val="595959" w:themeColor="text1" w:themeTint="a6"/>
          <w:sz w:val="18"/>
          <w:szCs w:val="18"/>
        </w:rPr>
      </w:pPr>
      <w:r>
        <w:rPr>
          <w:color w:val="595959" w:themeColor="text1" w:themeTint="a6"/>
          <w:sz w:val="18"/>
          <w:szCs w:val="18"/>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103" w:name="_Toc191031099"/>
      <w:bookmarkStart w:id="104" w:name="_Ref176948241"/>
      <w:r>
        <w:rPr/>
        <w:fldChar w:fldCharType="begin"/>
      </w:r>
      <w:r>
        <w:rPr/>
        <w:instrText xml:space="preserve"> SEQ Grafikoa \* ARABIC </w:instrText>
      </w:r>
      <w:r>
        <w:rPr/>
        <w:fldChar w:fldCharType="separate"/>
      </w:r>
      <w:r>
        <w:rPr/>
        <w:t>25</w:t>
      </w:r>
      <w:r>
        <w:rPr/>
        <w:fldChar w:fldCharType="end"/>
      </w:r>
      <w:r>
        <w:rPr/>
        <w:t>. Grafikoa</w:t>
      </w:r>
      <w:bookmarkEnd w:id="104"/>
      <w:r>
        <w:rPr/>
        <w:t xml:space="preserve"> Bizikidetza-unitateen batez besteko tamainaren bilakaera (kop.)</w:t>
        <w:br/>
        <w:t>Pasaia, 2009-2025</w:t>
      </w:r>
      <w:bookmarkEnd w:id="103"/>
    </w:p>
    <w:p>
      <w:pPr>
        <w:pStyle w:val="Normal"/>
        <w:jc w:val="right"/>
        <w:rPr>
          <w:rStyle w:val="IturriaKar"/>
        </w:rPr>
      </w:pPr>
      <w:r>
        <w:rPr/>
        <w:drawing>
          <wp:inline distT="0" distB="0" distL="0" distR="0">
            <wp:extent cx="5276850" cy="3133090"/>
            <wp:effectExtent l="0" t="0" r="0" b="0"/>
            <wp:docPr id="27" name="Imagen19" descr="Hau duen irudia testua, Lurrazala, lerro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19" descr="Hau duen irudia testua, Lurrazala, lerroa, diagrama&#10;&#10;Azalpena automatikoki sortu da"/>
                    <pic:cNvPicPr>
                      <a:picLocks noChangeAspect="1" noChangeArrowheads="1"/>
                    </pic:cNvPicPr>
                  </pic:nvPicPr>
                  <pic:blipFill>
                    <a:blip r:embed="rId28"/>
                    <a:stretch>
                      <a:fillRect/>
                    </a:stretch>
                  </pic:blipFill>
                  <pic:spPr bwMode="auto">
                    <a:xfrm>
                      <a:off x="0" y="0"/>
                      <a:ext cx="5276850" cy="3133090"/>
                    </a:xfrm>
                    <a:prstGeom prst="rect">
                      <a:avLst/>
                    </a:prstGeom>
                  </pic:spPr>
                </pic:pic>
              </a:graphicData>
            </a:graphic>
          </wp:inline>
        </w:drawing>
      </w:r>
    </w:p>
    <w:p>
      <w:pPr>
        <w:pStyle w:val="Normal"/>
        <w:jc w:val="right"/>
        <w:rPr>
          <w:color w:val="595959" w:themeColor="text1" w:themeTint="a6"/>
          <w:sz w:val="18"/>
          <w:szCs w:val="18"/>
        </w:rPr>
      </w:pPr>
      <w:r>
        <w:rPr>
          <w:rStyle w:val="IturriaKar"/>
        </w:rPr>
        <w:t>Iturria: Errolda.</w:t>
      </w:r>
    </w:p>
    <w:p>
      <w:pPr>
        <w:pStyle w:val="Caption"/>
        <w:rPr/>
      </w:pPr>
      <w:bookmarkStart w:id="105" w:name="_Toc191031155"/>
      <w:bookmarkStart w:id="106" w:name="_Ref176948251"/>
      <w:r>
        <w:rPr/>
        <w:fldChar w:fldCharType="begin"/>
      </w:r>
      <w:r>
        <w:rPr/>
        <w:instrText xml:space="preserve"> SEQ Taula \* ARABIC </w:instrText>
      </w:r>
      <w:r>
        <w:rPr/>
        <w:fldChar w:fldCharType="separate"/>
      </w:r>
      <w:r>
        <w:rPr/>
        <w:t>12</w:t>
      </w:r>
      <w:r>
        <w:rPr/>
        <w:fldChar w:fldCharType="end"/>
      </w:r>
      <w:r>
        <w:rPr/>
        <w:t>. Taula</w:t>
      </w:r>
      <w:bookmarkEnd w:id="106"/>
      <w:r>
        <w:rPr/>
        <w:t>: Bizikidetza-unitate kopuruaren eta batez besteko tamainaren bilakaera.</w:t>
        <w:br/>
        <w:t>Pasaia, 2009-2025</w:t>
      </w:r>
      <w:bookmarkEnd w:id="105"/>
    </w:p>
    <w:tbl>
      <w:tblPr>
        <w:tblW w:w="850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726"/>
        <w:gridCol w:w="1243"/>
        <w:gridCol w:w="1134"/>
        <w:gridCol w:w="1135"/>
        <w:gridCol w:w="1134"/>
        <w:gridCol w:w="1133"/>
      </w:tblGrid>
      <w:tr>
        <w:trPr>
          <w:trHeight w:val="300" w:hRule="atLeast"/>
        </w:trPr>
        <w:tc>
          <w:tcPr>
            <w:tcW w:w="272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Adierazlea</w:t>
            </w:r>
          </w:p>
        </w:tc>
        <w:tc>
          <w:tcPr>
            <w:tcW w:w="124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11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1133"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2025</w:t>
            </w:r>
          </w:p>
        </w:tc>
      </w:tr>
      <w:tr>
        <w:trPr>
          <w:trHeight w:val="300" w:hRule="atLeast"/>
        </w:trPr>
        <w:tc>
          <w:tcPr>
            <w:tcW w:w="272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Bizikidetza-unitateak (kop.)</w:t>
            </w:r>
          </w:p>
        </w:tc>
        <w:tc>
          <w:tcPr>
            <w:tcW w:w="124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6.434</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6.496</w:t>
            </w:r>
          </w:p>
        </w:tc>
        <w:tc>
          <w:tcPr>
            <w:tcW w:w="11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6.866</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6.877</w:t>
            </w:r>
          </w:p>
        </w:tc>
        <w:tc>
          <w:tcPr>
            <w:tcW w:w="1133"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7.052</w:t>
            </w:r>
          </w:p>
        </w:tc>
      </w:tr>
      <w:tr>
        <w:trPr>
          <w:trHeight w:val="300" w:hRule="atLeast"/>
        </w:trPr>
        <w:tc>
          <w:tcPr>
            <w:tcW w:w="272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Batez besteko tamaina (bizt.)</w:t>
            </w:r>
          </w:p>
        </w:tc>
        <w:tc>
          <w:tcPr>
            <w:tcW w:w="124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2,48</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2,44</w:t>
            </w:r>
          </w:p>
        </w:tc>
        <w:tc>
          <w:tcPr>
            <w:tcW w:w="11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2,36</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2,38</w:t>
            </w:r>
          </w:p>
        </w:tc>
        <w:tc>
          <w:tcPr>
            <w:tcW w:w="1133"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2,36</w:t>
            </w:r>
          </w:p>
        </w:tc>
      </w:tr>
    </w:tbl>
    <w:p>
      <w:pPr>
        <w:pStyle w:val="Iturria"/>
        <w:rPr/>
      </w:pPr>
      <w:r>
        <w:rPr/>
        <w:t>Iturria: Errolda.</w:t>
      </w:r>
    </w:p>
    <w:p>
      <w:pPr>
        <w:pStyle w:val="Normal"/>
        <w:jc w:val="both"/>
        <w:rPr/>
      </w:pPr>
      <w:r>
        <w:rPr/>
        <w:t xml:space="preserve">Auzo bakoitzeko bizikidetza-unitateen kopuruak biztanleriaren patroi espazial bera jarraitzen du: Trintxerpe eta Antxo dira ugarienak (2.485 eta 2.265 unitate, hurrenez hurren), eta San Pedro zein Donibane urrienak (1.353 eta 949 unitate, hurrenez hurren) (ikus </w:t>
      </w:r>
      <w:r>
        <w:rPr/>
        <w:fldChar w:fldCharType="begin"/>
      </w:r>
      <w:r>
        <w:rPr/>
        <w:instrText xml:space="preserve"> REF _Ref176948291 \h </w:instrText>
      </w:r>
      <w:r>
        <w:rPr/>
        <w:fldChar w:fldCharType="separate"/>
      </w:r>
      <w:r>
        <w:rPr/>
        <w:t>26. Grafikoa</w:t>
      </w:r>
      <w:r>
        <w:rPr/>
        <w:fldChar w:fldCharType="end"/>
      </w:r>
      <w:r>
        <w:rPr/>
        <w:t xml:space="preserve">, </w:t>
      </w:r>
      <w:r>
        <w:rPr/>
        <w:fldChar w:fldCharType="begin"/>
      </w:r>
      <w:r>
        <w:rPr/>
        <w:instrText xml:space="preserve"> REF _Ref182844090 \h </w:instrText>
      </w:r>
      <w:r>
        <w:rPr/>
        <w:fldChar w:fldCharType="separate"/>
      </w:r>
      <w:r>
        <w:rPr/>
        <w:t>13. Taula</w:t>
      </w:r>
      <w:r>
        <w:rPr/>
        <w:fldChar w:fldCharType="end"/>
      </w:r>
      <w:r>
        <w:rPr/>
        <w:t xml:space="preserve"> eta </w:t>
      </w:r>
      <w:r>
        <w:rPr/>
        <w:fldChar w:fldCharType="begin"/>
      </w:r>
      <w:r>
        <w:rPr/>
        <w:instrText xml:space="preserve"> REF _Ref176948323 \h </w:instrText>
      </w:r>
      <w:r>
        <w:rPr/>
        <w:fldChar w:fldCharType="separate"/>
      </w:r>
      <w:r>
        <w:rPr/>
        <w:t>2. Irudia</w:t>
      </w:r>
      <w:r>
        <w:rPr/>
        <w:fldChar w:fldCharType="end"/>
      </w:r>
      <w:r>
        <w:rPr/>
        <w:t>).</w:t>
      </w:r>
    </w:p>
    <w:p>
      <w:pPr>
        <w:pStyle w:val="Normal"/>
        <w:jc w:val="both"/>
        <w:rPr/>
      </w:pPr>
      <w:r>
        <w:rPr/>
        <w:t xml:space="preserve">Bizikidetza-unitateen tamainari dagokionez aldeak txikiak dira barrutien artean, edonola ere, distritu populatuenetako eta gazteenetako bizikidetza-unitateak handixeagoak dira: Trintxerpe (2,43) eta Antxo (2,37). Barruti txikienetan eta zahartuenetan, berriz, bizikidetza-unitateen batez besteko tamaina txikiagoa da: San Pedro (2,26) eta Donibane (2,30) (ikus </w:t>
      </w:r>
      <w:r>
        <w:rPr/>
        <w:fldChar w:fldCharType="begin"/>
      </w:r>
      <w:r>
        <w:rPr/>
        <w:instrText xml:space="preserve"> REF _Ref176948291 \h </w:instrText>
      </w:r>
      <w:r>
        <w:rPr/>
        <w:fldChar w:fldCharType="separate"/>
      </w:r>
      <w:r>
        <w:rPr/>
        <w:t>26. Grafikoa</w:t>
      </w:r>
      <w:r>
        <w:rPr/>
        <w:fldChar w:fldCharType="end"/>
      </w:r>
      <w:r>
        <w:rPr/>
        <w:t xml:space="preserve">, </w:t>
      </w:r>
      <w:r>
        <w:rPr/>
        <w:fldChar w:fldCharType="begin"/>
      </w:r>
      <w:r>
        <w:rPr/>
        <w:instrText xml:space="preserve"> REF _Ref182844090 \h </w:instrText>
      </w:r>
      <w:r>
        <w:rPr/>
        <w:fldChar w:fldCharType="separate"/>
      </w:r>
      <w:r>
        <w:rPr/>
        <w:t>13. Taula</w:t>
      </w:r>
      <w:r>
        <w:rPr/>
        <w:fldChar w:fldCharType="end"/>
      </w:r>
      <w:r>
        <w:rPr/>
        <w:t xml:space="preserve"> eta </w:t>
      </w:r>
      <w:r>
        <w:rPr/>
        <w:fldChar w:fldCharType="begin"/>
      </w:r>
      <w:r>
        <w:rPr/>
        <w:instrText xml:space="preserve"> REF _Ref176948323 \h </w:instrText>
      </w:r>
      <w:r>
        <w:rPr/>
        <w:fldChar w:fldCharType="separate"/>
      </w:r>
      <w:r>
        <w:rPr/>
        <w:t>2. Irudia</w:t>
      </w:r>
      <w:r>
        <w:rPr/>
        <w:fldChar w:fldCharType="end"/>
      </w:r>
      <w:r>
        <w:rPr/>
        <w:t>).</w:t>
      </w:r>
    </w:p>
    <w:p>
      <w:pPr>
        <w:pStyle w:val="Normal"/>
        <w:jc w:val="both"/>
        <w:rPr/>
      </w:pPr>
      <w:r>
        <w:rPr/>
        <w:t xml:space="preserve">Aintzat hartzekoa da bizikidetza-unitateen %62,4 pertsona bat edo bik osatuak direla. Halaber, %31,6 hiru edo lau kidez osatutako bizikidetza-unitateak dira eta %3,6 bost kidekoak. Horrez gain, badira sei kide edo gehiagoz osatutako unitateak ere, orotara, 176 unitate. Tamaina handiko bizikidetza-unitateen gehiengoa Antxoko eta Trintxerpeko barrutietan aurkitzen dira (ikus </w:t>
      </w:r>
      <w:r>
        <w:rPr/>
        <w:fldChar w:fldCharType="begin"/>
      </w:r>
      <w:r>
        <w:rPr/>
        <w:instrText xml:space="preserve"> REF _Ref182844090 \h </w:instrText>
      </w:r>
      <w:r>
        <w:rPr/>
        <w:fldChar w:fldCharType="separate"/>
      </w:r>
      <w:r>
        <w:rPr/>
        <w:t>13. Taula</w:t>
      </w:r>
      <w:r>
        <w:rPr/>
        <w:fldChar w:fldCharType="end"/>
      </w:r>
      <w:r>
        <w:rPr/>
        <w:t>).</w:t>
      </w:r>
    </w:p>
    <w:p>
      <w:pPr>
        <w:pStyle w:val="Normal"/>
        <w:jc w:val="both"/>
        <w:rPr/>
      </w:pPr>
      <w:r>
        <w:rPr/>
        <w:t>Bizikidetza-unitate handiak arretaz aztertuta, babes etxeko bizikidetza-unitateak alde batera utzita, bizikidetza-unitate bereziki handiak diren 10 kasu azpimarratu behar dira, hamar pertsona edo gehiagoz osatuta daudenak. Bizikidetza-unitate horiek metaketagatik bizigarritasun baldintza txarrak izateko arriskua handia da.</w:t>
      </w:r>
    </w:p>
    <w:p>
      <w:pPr>
        <w:pStyle w:val="Caption"/>
        <w:rPr/>
      </w:pPr>
      <w:bookmarkStart w:id="107" w:name="_Toc191031156"/>
      <w:bookmarkStart w:id="108" w:name="_Ref182844090"/>
      <w:bookmarkStart w:id="109" w:name="_Ref176948278"/>
      <w:r>
        <w:rPr/>
        <w:fldChar w:fldCharType="begin"/>
      </w:r>
      <w:r>
        <w:rPr/>
        <w:instrText xml:space="preserve"> SEQ Taula \* ARABIC </w:instrText>
      </w:r>
      <w:r>
        <w:rPr/>
        <w:fldChar w:fldCharType="separate"/>
      </w:r>
      <w:r>
        <w:rPr/>
        <w:t>13</w:t>
      </w:r>
      <w:r>
        <w:rPr/>
        <w:fldChar w:fldCharType="end"/>
      </w:r>
      <w:r>
        <w:rPr/>
        <w:t>. Taula</w:t>
      </w:r>
      <w:bookmarkEnd w:id="108"/>
      <w:bookmarkEnd w:id="109"/>
      <w:r>
        <w:rPr/>
        <w:t>: Bizikidetza-unitateak auzoaren eta tamainaren arabera (kop.).</w:t>
        <w:br/>
        <w:t>Pasaia, 2025</w:t>
      </w:r>
      <w:bookmarkEnd w:id="107"/>
    </w:p>
    <w:tbl>
      <w:tblPr>
        <w:tblW w:w="768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037"/>
        <w:gridCol w:w="949"/>
        <w:gridCol w:w="949"/>
        <w:gridCol w:w="949"/>
        <w:gridCol w:w="949"/>
        <w:gridCol w:w="949"/>
        <w:gridCol w:w="948"/>
        <w:gridCol w:w="949"/>
      </w:tblGrid>
      <w:tr>
        <w:trPr>
          <w:trHeight w:val="300" w:hRule="atLeast"/>
        </w:trPr>
        <w:tc>
          <w:tcPr>
            <w:tcW w:w="103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1 kide</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 kide</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3 kide</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4 kide</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5 kide</w:t>
            </w:r>
          </w:p>
        </w:tc>
        <w:tc>
          <w:tcPr>
            <w:tcW w:w="94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6 kide</w:t>
            </w:r>
          </w:p>
        </w:tc>
        <w:tc>
          <w:tcPr>
            <w:tcW w:w="94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0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647</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385</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307</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w:t>
            </w:r>
          </w:p>
        </w:tc>
        <w:tc>
          <w:tcPr>
            <w:tcW w:w="94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2.265</w:t>
            </w:r>
          </w:p>
        </w:tc>
      </w:tr>
      <w:tr>
        <w:trPr>
          <w:trHeight w:val="300" w:hRule="atLeast"/>
        </w:trPr>
        <w:tc>
          <w:tcPr>
            <w:tcW w:w="10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277</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160</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w:t>
            </w:r>
          </w:p>
        </w:tc>
        <w:tc>
          <w:tcPr>
            <w:tcW w:w="94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949</w:t>
            </w:r>
          </w:p>
        </w:tc>
      </w:tr>
      <w:tr>
        <w:trPr>
          <w:trHeight w:val="300" w:hRule="atLeast"/>
        </w:trPr>
        <w:tc>
          <w:tcPr>
            <w:tcW w:w="10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386</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253</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179</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c>
          <w:tcPr>
            <w:tcW w:w="94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1.353</w:t>
            </w:r>
          </w:p>
        </w:tc>
      </w:tr>
      <w:tr>
        <w:trPr>
          <w:trHeight w:val="300" w:hRule="atLeast"/>
        </w:trPr>
        <w:tc>
          <w:tcPr>
            <w:tcW w:w="103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723</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486</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w:t>
            </w:r>
          </w:p>
        </w:tc>
        <w:tc>
          <w:tcPr>
            <w:tcW w:w="94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w:t>
            </w:r>
          </w:p>
        </w:tc>
        <w:tc>
          <w:tcPr>
            <w:tcW w:w="94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2.485</w:t>
            </w:r>
          </w:p>
        </w:tc>
      </w:tr>
      <w:tr>
        <w:trPr>
          <w:trHeight w:val="300" w:hRule="atLeast"/>
        </w:trPr>
        <w:tc>
          <w:tcPr>
            <w:tcW w:w="1037"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2.285</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2.114</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1.284</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941</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252</w:t>
            </w:r>
          </w:p>
        </w:tc>
        <w:tc>
          <w:tcPr>
            <w:tcW w:w="94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176</w:t>
            </w:r>
          </w:p>
        </w:tc>
        <w:tc>
          <w:tcPr>
            <w:tcW w:w="94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7.052</w:t>
            </w:r>
          </w:p>
        </w:tc>
      </w:tr>
    </w:tbl>
    <w:p>
      <w:pPr>
        <w:pStyle w:val="Iturria"/>
        <w:rPr/>
      </w:pPr>
      <w:r>
        <w:rPr/>
        <w:t>Iturria: Errolda.</w:t>
      </w:r>
    </w:p>
    <w:p>
      <w:pPr>
        <w:pStyle w:val="Iturria"/>
        <w:rPr/>
      </w:pPr>
      <w:r>
        <w:rPr/>
      </w:r>
    </w:p>
    <w:p>
      <w:pPr>
        <w:pStyle w:val="Caption"/>
        <w:rPr/>
      </w:pPr>
      <w:bookmarkStart w:id="110" w:name="_Toc191031100"/>
      <w:bookmarkStart w:id="111" w:name="_Ref176948291"/>
      <w:r>
        <w:rPr/>
        <w:fldChar w:fldCharType="begin"/>
      </w:r>
      <w:r>
        <w:rPr/>
        <w:instrText xml:space="preserve"> SEQ Grafikoa \* ARABIC </w:instrText>
      </w:r>
      <w:r>
        <w:rPr/>
        <w:fldChar w:fldCharType="separate"/>
      </w:r>
      <w:r>
        <w:rPr/>
        <w:t>26</w:t>
      </w:r>
      <w:r>
        <w:rPr/>
        <w:fldChar w:fldCharType="end"/>
      </w:r>
      <w:r>
        <w:rPr/>
        <w:t>. Grafikoa</w:t>
      </w:r>
      <w:bookmarkEnd w:id="111"/>
      <w:r>
        <w:rPr/>
        <w:t>: Bizikidetza-unitateen batez besteko tamaina auzoaren arabera (bizt.).</w:t>
        <w:br/>
        <w:t>Pasaia, 2025</w:t>
      </w:r>
      <w:bookmarkEnd w:id="110"/>
    </w:p>
    <w:p>
      <w:pPr>
        <w:pStyle w:val="Iturria"/>
        <w:jc w:val="center"/>
        <w:rPr/>
      </w:pPr>
      <w:r>
        <w:rPr/>
        <w:drawing>
          <wp:inline distT="0" distB="0" distL="0" distR="0">
            <wp:extent cx="5390515" cy="3200400"/>
            <wp:effectExtent l="0" t="0" r="0" b="0"/>
            <wp:docPr id="28" name="Imagen20" descr="Hau duen irudia testua, pantaila-argazkia, Bataiarri, Laukizuzen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20" descr="Hau duen irudia testua, pantaila-argazkia, Bataiarri, Laukizuzena&#10;&#10;Azalpena automatikoki sortu da"/>
                    <pic:cNvPicPr>
                      <a:picLocks noChangeAspect="1" noChangeArrowheads="1"/>
                    </pic:cNvPicPr>
                  </pic:nvPicPr>
                  <pic:blipFill>
                    <a:blip r:embed="rId29"/>
                    <a:stretch>
                      <a:fillRect/>
                    </a:stretch>
                  </pic:blipFill>
                  <pic:spPr bwMode="auto">
                    <a:xfrm>
                      <a:off x="0" y="0"/>
                      <a:ext cx="5390515" cy="3200400"/>
                    </a:xfrm>
                    <a:prstGeom prst="rect">
                      <a:avLst/>
                    </a:prstGeom>
                  </pic:spPr>
                </pic:pic>
              </a:graphicData>
            </a:graphic>
          </wp:inline>
        </w:drawing>
      </w:r>
    </w:p>
    <w:p>
      <w:pPr>
        <w:pStyle w:val="Iturria"/>
        <w:rPr/>
      </w:pPr>
      <w:r>
        <w:rPr/>
        <w:t>Iturria: Errolda.</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112" w:name="_Toc191031192"/>
      <w:bookmarkStart w:id="113" w:name="_Ref176948323"/>
      <w:r>
        <w:rPr/>
        <w:fldChar w:fldCharType="begin"/>
      </w:r>
      <w:r>
        <w:rPr/>
        <w:instrText xml:space="preserve"> SEQ Irudia \* ARABIC </w:instrText>
      </w:r>
      <w:r>
        <w:rPr/>
        <w:fldChar w:fldCharType="separate"/>
      </w:r>
      <w:r>
        <w:rPr/>
        <w:t>2</w:t>
      </w:r>
      <w:r>
        <w:rPr/>
        <w:fldChar w:fldCharType="end"/>
      </w:r>
      <w:r>
        <w:rPr/>
        <w:t>. Irudia</w:t>
      </w:r>
      <w:bookmarkEnd w:id="113"/>
      <w:r>
        <w:rPr/>
        <w:t>: Bizikidetza-unitateen bero mapa.</w:t>
        <w:br/>
        <w:t>Pasaia, 2025</w:t>
      </w:r>
      <w:bookmarkEnd w:id="112"/>
    </w:p>
    <w:p>
      <w:pPr>
        <w:pStyle w:val="Normal"/>
        <w:rPr/>
      </w:pPr>
      <w:r>
        <w:rPr/>
        <w:drawing>
          <wp:inline distT="0" distB="0" distL="0" distR="0">
            <wp:extent cx="5400040" cy="3816350"/>
            <wp:effectExtent l="0" t="0" r="0" b="0"/>
            <wp:docPr id="29" name="Irudia 8" descr="Hau duen irudia mapa, testu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rudia 8" descr="Hau duen irudia mapa, testua&#10;&#10;Azalpena automatikoki sortu da"/>
                    <pic:cNvPicPr>
                      <a:picLocks noChangeAspect="1" noChangeArrowheads="1"/>
                    </pic:cNvPicPr>
                  </pic:nvPicPr>
                  <pic:blipFill>
                    <a:blip r:embed="rId30"/>
                    <a:stretch>
                      <a:fillRect/>
                    </a:stretch>
                  </pic:blipFill>
                  <pic:spPr bwMode="auto">
                    <a:xfrm>
                      <a:off x="0" y="0"/>
                      <a:ext cx="5400040" cy="3816350"/>
                    </a:xfrm>
                    <a:prstGeom prst="rect">
                      <a:avLst/>
                    </a:prstGeom>
                  </pic:spPr>
                </pic:pic>
              </a:graphicData>
            </a:graphic>
          </wp:inline>
        </w:drawing>
      </w:r>
    </w:p>
    <w:p>
      <w:pPr>
        <w:pStyle w:val="Iturria"/>
        <w:rPr/>
      </w:pPr>
      <w:r>
        <w:rPr/>
        <w:t xml:space="preserve"> </w:t>
      </w:r>
      <w:r>
        <w:rPr/>
        <w:t>Iturria: Errolda.</w:t>
      </w:r>
    </w:p>
    <w:p>
      <w:pPr>
        <w:pStyle w:val="Normal"/>
        <w:jc w:val="both"/>
        <w:rPr/>
      </w:pPr>
      <w:r>
        <w:rPr/>
        <w:t xml:space="preserve">Bizikidetza unitateak adin eta jatorriaren arabera aztertuta zenbait aipamen egin daitezke. Adinari dagokionez, bizikidetza-unitateen %64,8 (4.573 bizikidetza-unitate) intergenerazionalak dira; hau da, adin tarte desberdinetako pertsonez osatuta daude. Bestalde, %25,2 (1.774 bizikidetza-unitate) adineko pertsonez bakarrik osatuta dago eta %10,0 (705 bizikidetza-unitate) gutxienez 18-34 urte bitarteko gazte emantzipatu bat du bere baitan (3.2 atalean gazteen emantzipazio maila sakonago aztertzen da). </w:t>
      </w:r>
    </w:p>
    <w:p>
      <w:pPr>
        <w:pStyle w:val="Normal"/>
        <w:jc w:val="both"/>
        <w:rPr/>
      </w:pPr>
      <w:r>
        <w:rPr/>
        <w:t xml:space="preserve">Bizikidetza-unitateen tipologiak auzoz auzo aztertzen badira aldeak txikiak dira, Txintxerpen dago unitate intergenerazionalen proportzio handiena (%66,0) baina bi puntuko aldea baino ez dago indize apalena duen Donibanerekin (%63,9) alderatuta. Antzera gertatzen da adinekoez bakarrik osatutako unitateekin. Donibanen dago unitate gehien (%27,2) baina hiru puntu eta erdiko aldea dago proportzio gutxiena duen Txintxerperekin (%23,6). Emantzipatutako gazteak dituzten unitateetan aldeak are txikiagoak dira, barruti guztiak %9,0 eta %10,3ren artean dabiltza. Donibane da gazte emantzipatu gutxien duena (%9,0) eta Antxo zein Trintxerpe gehien dutenak (%10,3) (ikus </w:t>
      </w:r>
      <w:r>
        <w:rPr/>
        <w:fldChar w:fldCharType="begin"/>
      </w:r>
      <w:r>
        <w:rPr/>
        <w:instrText xml:space="preserve"> REF _Ref176948340 \h </w:instrText>
      </w:r>
      <w:r>
        <w:rPr/>
        <w:fldChar w:fldCharType="separate"/>
      </w:r>
      <w:r>
        <w:rPr/>
        <w:t>27. Grafikoa</w:t>
      </w:r>
      <w:r>
        <w:rPr/>
        <w:fldChar w:fldCharType="end"/>
      </w:r>
      <w:r>
        <w:rPr/>
        <w:t xml:space="preserve"> eta </w:t>
      </w:r>
      <w:r>
        <w:rPr/>
        <w:fldChar w:fldCharType="begin"/>
      </w:r>
      <w:r>
        <w:rPr/>
        <w:instrText xml:space="preserve"> REF _Ref176948349 \h </w:instrText>
      </w:r>
      <w:r>
        <w:rPr/>
        <w:fldChar w:fldCharType="separate"/>
      </w:r>
      <w:r>
        <w:rPr/>
        <w:t>14. Taula</w:t>
      </w:r>
      <w:r>
        <w:rPr/>
        <w:fldChar w:fldCharType="end"/>
      </w:r>
      <w:r>
        <w:rPr/>
        <w:t xml:space="preserve">). </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114" w:name="_Toc191031101"/>
      <w:bookmarkStart w:id="115" w:name="_Ref176948340"/>
      <w:r>
        <w:rPr/>
        <w:fldChar w:fldCharType="begin"/>
      </w:r>
      <w:r>
        <w:rPr/>
        <w:instrText xml:space="preserve"> SEQ Grafikoa \* ARABIC </w:instrText>
      </w:r>
      <w:r>
        <w:rPr/>
        <w:fldChar w:fldCharType="separate"/>
      </w:r>
      <w:r>
        <w:rPr/>
        <w:t>27</w:t>
      </w:r>
      <w:r>
        <w:rPr/>
        <w:fldChar w:fldCharType="end"/>
      </w:r>
      <w:r>
        <w:rPr/>
        <w:t>. Grafikoa</w:t>
      </w:r>
      <w:bookmarkEnd w:id="115"/>
      <w:r>
        <w:rPr/>
        <w:t>: Bizikidetza-unitateen tipologia adinaren arabera (%).</w:t>
        <w:br/>
        <w:t>Pasaia, 2025</w:t>
      </w:r>
      <w:bookmarkEnd w:id="114"/>
    </w:p>
    <w:p>
      <w:pPr>
        <w:pStyle w:val="Normal"/>
        <w:rPr/>
      </w:pPr>
      <w:r>
        <w:rPr/>
        <w:drawing>
          <wp:inline distT="0" distB="0" distL="0" distR="0">
            <wp:extent cx="5391150" cy="3200400"/>
            <wp:effectExtent l="0" t="0" r="0" b="0"/>
            <wp:docPr id="30" name="Imagen21" descr="Hau duen irudia testua, pantaila-argazkia, zenbakia, diseinu&#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21" descr="Hau duen irudia testua, pantaila-argazkia, zenbakia, diseinu&#10;&#10;Baliteke AAk sortutako edukia zuzena ez izatea."/>
                    <pic:cNvPicPr>
                      <a:picLocks noChangeAspect="1" noChangeArrowheads="1"/>
                    </pic:cNvPicPr>
                  </pic:nvPicPr>
                  <pic:blipFill>
                    <a:blip r:embed="rId31"/>
                    <a:stretch>
                      <a:fillRect/>
                    </a:stretch>
                  </pic:blipFill>
                  <pic:spPr bwMode="auto">
                    <a:xfrm>
                      <a:off x="0" y="0"/>
                      <a:ext cx="5391150" cy="3200400"/>
                    </a:xfrm>
                    <a:prstGeom prst="rect">
                      <a:avLst/>
                    </a:prstGeom>
                  </pic:spPr>
                </pic:pic>
              </a:graphicData>
            </a:graphic>
          </wp:inline>
        </w:drawing>
      </w:r>
    </w:p>
    <w:p>
      <w:pPr>
        <w:pStyle w:val="Normal"/>
        <w:jc w:val="right"/>
        <w:rPr>
          <w:rStyle w:val="IturriaKar"/>
        </w:rPr>
      </w:pPr>
      <w:r>
        <w:rPr/>
        <w:t xml:space="preserve"> </w:t>
      </w:r>
      <w:r>
        <w:rPr>
          <w:rStyle w:val="IturriaKar"/>
        </w:rPr>
        <w:t>Iturria: Errolda.</w:t>
      </w:r>
    </w:p>
    <w:p>
      <w:pPr>
        <w:pStyle w:val="Normal"/>
        <w:jc w:val="right"/>
        <w:rPr/>
      </w:pPr>
      <w:r>
        <w:rPr/>
      </w:r>
    </w:p>
    <w:p>
      <w:pPr>
        <w:pStyle w:val="Caption"/>
        <w:rPr/>
      </w:pPr>
      <w:bookmarkStart w:id="116" w:name="_Toc191031157"/>
      <w:bookmarkStart w:id="117" w:name="_Ref176948349"/>
      <w:r>
        <w:rPr/>
        <w:fldChar w:fldCharType="begin"/>
      </w:r>
      <w:r>
        <w:rPr/>
        <w:instrText xml:space="preserve"> SEQ Taula \* ARABIC </w:instrText>
      </w:r>
      <w:r>
        <w:rPr/>
        <w:fldChar w:fldCharType="separate"/>
      </w:r>
      <w:r>
        <w:rPr/>
        <w:t>14</w:t>
      </w:r>
      <w:r>
        <w:rPr/>
        <w:fldChar w:fldCharType="end"/>
      </w:r>
      <w:r>
        <w:rPr/>
        <w:t>. Taula</w:t>
      </w:r>
      <w:bookmarkEnd w:id="117"/>
      <w:r>
        <w:rPr/>
        <w:t>: Bizikidetza-unitateen tipologia adinaren arabera (kop.).</w:t>
        <w:br/>
        <w:t>Pasaia, 2025</w:t>
      </w:r>
      <w:bookmarkEnd w:id="116"/>
    </w:p>
    <w:tbl>
      <w:tblPr>
        <w:tblW w:w="779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617"/>
        <w:gridCol w:w="1581"/>
        <w:gridCol w:w="1622"/>
        <w:gridCol w:w="1558"/>
        <w:gridCol w:w="1419"/>
      </w:tblGrid>
      <w:tr>
        <w:trPr>
          <w:trHeight w:val="300" w:hRule="atLeast"/>
        </w:trPr>
        <w:tc>
          <w:tcPr>
            <w:tcW w:w="161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cs="Calibri Light"/>
                <w:b/>
                <w:bCs/>
                <w:color w:val="FFFFFF"/>
                <w:sz w:val="20"/>
                <w:szCs w:val="20"/>
              </w:rPr>
              <w:t>Eremua</w:t>
            </w:r>
          </w:p>
        </w:tc>
        <w:tc>
          <w:tcPr>
            <w:tcW w:w="158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cs="Calibri Light"/>
                <w:b/>
                <w:bCs/>
                <w:color w:val="FFFFFF"/>
                <w:sz w:val="20"/>
                <w:szCs w:val="20"/>
              </w:rPr>
              <w:t>Estatuan jaiotakoak</w:t>
            </w:r>
          </w:p>
        </w:tc>
        <w:tc>
          <w:tcPr>
            <w:tcW w:w="162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cs="Calibri Light"/>
                <w:b/>
                <w:bCs/>
                <w:color w:val="FFFFFF"/>
                <w:sz w:val="20"/>
                <w:szCs w:val="20"/>
              </w:rPr>
              <w:t>Anitzak</w:t>
            </w:r>
          </w:p>
        </w:tc>
        <w:tc>
          <w:tcPr>
            <w:tcW w:w="155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cs="Calibri Light"/>
                <w:b/>
                <w:bCs/>
                <w:color w:val="FFFFFF"/>
                <w:sz w:val="20"/>
                <w:szCs w:val="20"/>
              </w:rPr>
              <w:t>Estatutik kanpo jaiotakoak</w:t>
            </w:r>
          </w:p>
        </w:tc>
        <w:tc>
          <w:tcPr>
            <w:tcW w:w="141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cs="Calibri Light"/>
                <w:b/>
                <w:bCs/>
                <w:color w:val="FFFFFF"/>
                <w:sz w:val="20"/>
                <w:szCs w:val="20"/>
              </w:rPr>
              <w:t>Orotara</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Antxo</w:t>
            </w:r>
          </w:p>
        </w:tc>
        <w:tc>
          <w:tcPr>
            <w:tcW w:w="15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1.789</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296</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180</w:t>
            </w:r>
          </w:p>
        </w:tc>
        <w:tc>
          <w:tcPr>
            <w:tcW w:w="141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2.265</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Donibane</w:t>
            </w:r>
          </w:p>
        </w:tc>
        <w:tc>
          <w:tcPr>
            <w:tcW w:w="15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795</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104</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50</w:t>
            </w:r>
          </w:p>
        </w:tc>
        <w:tc>
          <w:tcPr>
            <w:tcW w:w="141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949</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San Pedro</w:t>
            </w:r>
          </w:p>
        </w:tc>
        <w:tc>
          <w:tcPr>
            <w:tcW w:w="15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1.110</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154</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89</w:t>
            </w:r>
          </w:p>
        </w:tc>
        <w:tc>
          <w:tcPr>
            <w:tcW w:w="141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1.353</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Trintxerpe</w:t>
            </w:r>
          </w:p>
        </w:tc>
        <w:tc>
          <w:tcPr>
            <w:tcW w:w="15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1.960</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292</w:t>
            </w:r>
          </w:p>
        </w:tc>
        <w:tc>
          <w:tcPr>
            <w:tcW w:w="155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233</w:t>
            </w:r>
          </w:p>
        </w:tc>
        <w:tc>
          <w:tcPr>
            <w:tcW w:w="141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cs="Calibri Light"/>
                <w:color w:val="000000"/>
                <w:sz w:val="20"/>
                <w:szCs w:val="20"/>
              </w:rPr>
              <w:t>2.485</w:t>
            </w:r>
          </w:p>
        </w:tc>
      </w:tr>
      <w:tr>
        <w:trPr>
          <w:trHeight w:val="300" w:hRule="atLeast"/>
        </w:trPr>
        <w:tc>
          <w:tcPr>
            <w:tcW w:w="1617"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Pasaia</w:t>
            </w:r>
          </w:p>
        </w:tc>
        <w:tc>
          <w:tcPr>
            <w:tcW w:w="158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5.654</w:t>
            </w:r>
          </w:p>
        </w:tc>
        <w:tc>
          <w:tcPr>
            <w:tcW w:w="1622"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846</w:t>
            </w:r>
          </w:p>
        </w:tc>
        <w:tc>
          <w:tcPr>
            <w:tcW w:w="155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552</w:t>
            </w:r>
          </w:p>
        </w:tc>
        <w:tc>
          <w:tcPr>
            <w:tcW w:w="141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7.052</w:t>
            </w:r>
          </w:p>
        </w:tc>
      </w:tr>
    </w:tbl>
    <w:p>
      <w:pPr>
        <w:pStyle w:val="Normal"/>
        <w:jc w:val="right"/>
        <w:rPr>
          <w:rStyle w:val="IturriaKar"/>
        </w:rPr>
      </w:pPr>
      <w:r>
        <w:rPr>
          <w:rStyle w:val="IturriaKar"/>
        </w:rPr>
        <w:t xml:space="preserve"> </w:t>
      </w:r>
      <w:r>
        <w:rPr>
          <w:rStyle w:val="IturriaKar"/>
        </w:rPr>
        <w:t>Iturria: Errolda.</w:t>
      </w:r>
    </w:p>
    <w:p>
      <w:pPr>
        <w:pStyle w:val="Normal"/>
        <w:jc w:val="both"/>
        <w:rPr>
          <w:rFonts w:ascii="Montserrat" w:hAnsi="Montserrat"/>
          <w:b/>
          <w:bCs/>
          <w:sz w:val="18"/>
          <w:szCs w:val="18"/>
        </w:rPr>
      </w:pPr>
      <w:r>
        <w:rPr/>
        <w:t xml:space="preserve">Bide berean, bizikidetza-unitateen %80,2a (5.654 bizikidetza-unitate) estatuan jaiotako pertsonez bakarrik osatuta dago. Bizikidetza-unitateen %12,0a (846 bizikidetza-unitate), berriz, anitzak dira; hau da, estatuan zein estatutik kanpo jaiotako pertsonek osatzen dute. Azkenik, %7,8a (552 bizikidetza-unitate) estatutik kanpo jaiotako pertsonez soilik osatutako bizikidetza-unitateak dira. Barruti mailan, elkarren artean alde handirik ez badago ere, Antxo da jatorri anitzeko pertsonek osatutako unitate gehien duena (%13,1) baina alde txikia dago gutxien duenarekin, Donibane (%11,0). Estatutik kanpo jaiotako pertsonez osatutako unitateei dagokionez, aldeak nabarmenagoak dira, Trintxerpe da proportzio handiena duena (%9,4) eta  segidan datoz, Antxo (%7,9), San Pedro (%6,6) eta Donibane (%5,3) (ikus </w:t>
      </w:r>
      <w:r>
        <w:rPr/>
        <w:fldChar w:fldCharType="begin"/>
      </w:r>
      <w:r>
        <w:rPr/>
        <w:instrText xml:space="preserve"> REF _Ref176948488 \h </w:instrText>
      </w:r>
      <w:r>
        <w:rPr/>
        <w:fldChar w:fldCharType="separate"/>
      </w:r>
      <w:r>
        <w:rPr/>
        <w:t>28. Grafikoa</w:t>
      </w:r>
      <w:r>
        <w:rPr/>
        <w:fldChar w:fldCharType="end"/>
      </w:r>
      <w:r>
        <w:rPr/>
        <w:t xml:space="preserve"> eta </w:t>
      </w:r>
      <w:r>
        <w:rPr/>
        <w:fldChar w:fldCharType="begin"/>
      </w:r>
      <w:r>
        <w:rPr/>
        <w:instrText xml:space="preserve"> REF _Ref176948017 \h </w:instrText>
      </w:r>
      <w:r>
        <w:rPr/>
        <w:fldChar w:fldCharType="separate"/>
      </w:r>
      <w:r>
        <w:rPr/>
        <w:t>17. Grafikoa</w:t>
      </w:r>
      <w:r>
        <w:rPr/>
        <w:fldChar w:fldCharType="end"/>
      </w:r>
      <w:r>
        <w:rPr/>
        <w:t>).</w:t>
      </w:r>
    </w:p>
    <w:p>
      <w:pPr>
        <w:pStyle w:val="Normal"/>
        <w:jc w:val="right"/>
        <w:rPr>
          <w:rStyle w:val="IturriaKar"/>
        </w:rPr>
      </w:pPr>
      <w:r>
        <w:rPr/>
      </w:r>
    </w:p>
    <w:p>
      <w:pPr>
        <w:pStyle w:val="Normal"/>
        <w:jc w:val="right"/>
        <w:rPr>
          <w:rStyle w:val="IturriaKar"/>
        </w:rPr>
      </w:pPr>
      <w:r>
        <w:rPr/>
      </w:r>
    </w:p>
    <w:p>
      <w:pPr>
        <w:pStyle w:val="Normal"/>
        <w:rPr>
          <w:rStyle w:val="IturriaKar"/>
        </w:rPr>
      </w:pPr>
      <w:r>
        <w:rPr/>
      </w:r>
      <w:r>
        <w:br w:type="page"/>
      </w:r>
    </w:p>
    <w:p>
      <w:pPr>
        <w:pStyle w:val="Caption"/>
        <w:rPr/>
      </w:pPr>
      <w:bookmarkStart w:id="118" w:name="_Toc191031102"/>
      <w:bookmarkStart w:id="119" w:name="_Ref176948488"/>
      <w:r>
        <w:rPr/>
        <w:fldChar w:fldCharType="begin"/>
      </w:r>
      <w:r>
        <w:rPr/>
        <w:instrText xml:space="preserve"> SEQ Grafikoa \* ARABIC </w:instrText>
      </w:r>
      <w:r>
        <w:rPr/>
        <w:fldChar w:fldCharType="separate"/>
      </w:r>
      <w:r>
        <w:rPr/>
        <w:t>28</w:t>
      </w:r>
      <w:r>
        <w:rPr/>
        <w:fldChar w:fldCharType="end"/>
      </w:r>
      <w:r>
        <w:rPr/>
        <w:t>. Grafikoa</w:t>
      </w:r>
      <w:bookmarkEnd w:id="119"/>
      <w:r>
        <w:rPr/>
        <w:t>: Bizikidetza-unitateen tipologia jaiolekuaren arabera (%).</w:t>
        <w:br/>
        <w:t>Pasaia, 2025</w:t>
      </w:r>
      <w:bookmarkEnd w:id="118"/>
    </w:p>
    <w:p>
      <w:pPr>
        <w:pStyle w:val="Normal"/>
        <w:jc w:val="center"/>
        <w:rPr/>
      </w:pPr>
      <w:r>
        <w:rPr/>
        <w:drawing>
          <wp:inline distT="0" distB="0" distL="0" distR="0">
            <wp:extent cx="5391150" cy="3200400"/>
            <wp:effectExtent l="0" t="0" r="0" b="0"/>
            <wp:docPr id="31" name="Imagen22" descr="Hau duen irudia testua, pantaila-argazkia, zenbaki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22" descr="Hau duen irudia testua, pantaila-argazkia, zenbakia, Bataiarri&#10;&#10;Baliteke AAk sortutako edukia zuzena ez izatea."/>
                    <pic:cNvPicPr>
                      <a:picLocks noChangeAspect="1" noChangeArrowheads="1"/>
                    </pic:cNvPicPr>
                  </pic:nvPicPr>
                  <pic:blipFill>
                    <a:blip r:embed="rId32"/>
                    <a:stretch>
                      <a:fillRect/>
                    </a:stretch>
                  </pic:blipFill>
                  <pic:spPr bwMode="auto">
                    <a:xfrm>
                      <a:off x="0" y="0"/>
                      <a:ext cx="5391150" cy="3200400"/>
                    </a:xfrm>
                    <a:prstGeom prst="rect">
                      <a:avLst/>
                    </a:prstGeom>
                  </pic:spPr>
                </pic:pic>
              </a:graphicData>
            </a:graphic>
          </wp:inline>
        </w:drawing>
      </w:r>
    </w:p>
    <w:p>
      <w:pPr>
        <w:pStyle w:val="Normal"/>
        <w:jc w:val="right"/>
        <w:rPr>
          <w:rStyle w:val="IturriaKar"/>
        </w:rPr>
      </w:pPr>
      <w:r>
        <w:rPr>
          <w:rStyle w:val="IturriaKar"/>
        </w:rPr>
        <w:t>Iturria: Errolda.</w:t>
      </w:r>
    </w:p>
    <w:p>
      <w:pPr>
        <w:pStyle w:val="Normal"/>
        <w:jc w:val="right"/>
        <w:rPr>
          <w:b/>
          <w:bCs/>
          <w:sz w:val="18"/>
          <w:szCs w:val="18"/>
        </w:rPr>
      </w:pPr>
      <w:r>
        <w:rPr>
          <w:b/>
          <w:bCs/>
          <w:sz w:val="18"/>
          <w:szCs w:val="18"/>
        </w:rPr>
      </w:r>
    </w:p>
    <w:p>
      <w:pPr>
        <w:pStyle w:val="Caption"/>
        <w:rPr/>
      </w:pPr>
      <w:bookmarkStart w:id="120" w:name="_Toc191031158"/>
      <w:r>
        <w:rPr/>
        <w:fldChar w:fldCharType="begin"/>
      </w:r>
      <w:r>
        <w:rPr/>
        <w:instrText xml:space="preserve"> SEQ Taula \* ARABIC </w:instrText>
      </w:r>
      <w:r>
        <w:rPr/>
        <w:fldChar w:fldCharType="separate"/>
      </w:r>
      <w:r>
        <w:rPr/>
        <w:t>15</w:t>
      </w:r>
      <w:r>
        <w:rPr/>
        <w:fldChar w:fldCharType="end"/>
      </w:r>
      <w:r>
        <w:rPr/>
        <w:t>. Taula: Bizikidetza-unitateen tipologia jaiolekuaren arabera (kop.).</w:t>
        <w:br/>
        <w:t>Pasaia, 2025</w:t>
      </w:r>
      <w:bookmarkEnd w:id="120"/>
    </w:p>
    <w:tbl>
      <w:tblPr>
        <w:tblW w:w="680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17"/>
        <w:gridCol w:w="1276"/>
        <w:gridCol w:w="1277"/>
        <w:gridCol w:w="1560"/>
        <w:gridCol w:w="1274"/>
      </w:tblGrid>
      <w:tr>
        <w:trPr>
          <w:trHeight w:val="300" w:hRule="atLeast"/>
        </w:trPr>
        <w:tc>
          <w:tcPr>
            <w:tcW w:w="141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27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Anitzak</w:t>
            </w:r>
          </w:p>
        </w:tc>
        <w:tc>
          <w:tcPr>
            <w:tcW w:w="127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Estatuan jaiotakoak</w:t>
            </w:r>
          </w:p>
        </w:tc>
        <w:tc>
          <w:tcPr>
            <w:tcW w:w="15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Estatutik kanpo jaiotakoak</w:t>
            </w:r>
          </w:p>
        </w:tc>
        <w:tc>
          <w:tcPr>
            <w:tcW w:w="127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4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296</w:t>
            </w:r>
          </w:p>
        </w:tc>
        <w:tc>
          <w:tcPr>
            <w:tcW w:w="12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1.789</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180</w:t>
            </w:r>
          </w:p>
        </w:tc>
        <w:tc>
          <w:tcPr>
            <w:tcW w:w="127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2.265</w:t>
            </w:r>
          </w:p>
        </w:tc>
      </w:tr>
      <w:tr>
        <w:trPr>
          <w:trHeight w:val="300" w:hRule="atLeast"/>
        </w:trPr>
        <w:tc>
          <w:tcPr>
            <w:tcW w:w="14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104</w:t>
            </w:r>
          </w:p>
        </w:tc>
        <w:tc>
          <w:tcPr>
            <w:tcW w:w="12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795</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50</w:t>
            </w:r>
          </w:p>
        </w:tc>
        <w:tc>
          <w:tcPr>
            <w:tcW w:w="127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949</w:t>
            </w:r>
          </w:p>
        </w:tc>
      </w:tr>
      <w:tr>
        <w:trPr>
          <w:trHeight w:val="300" w:hRule="atLeast"/>
        </w:trPr>
        <w:tc>
          <w:tcPr>
            <w:tcW w:w="14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154</w:t>
            </w:r>
          </w:p>
        </w:tc>
        <w:tc>
          <w:tcPr>
            <w:tcW w:w="12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1.110</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89</w:t>
            </w:r>
          </w:p>
        </w:tc>
        <w:tc>
          <w:tcPr>
            <w:tcW w:w="127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1.353</w:t>
            </w:r>
          </w:p>
        </w:tc>
      </w:tr>
      <w:tr>
        <w:trPr>
          <w:trHeight w:val="300" w:hRule="atLeast"/>
        </w:trPr>
        <w:tc>
          <w:tcPr>
            <w:tcW w:w="14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2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292</w:t>
            </w:r>
          </w:p>
        </w:tc>
        <w:tc>
          <w:tcPr>
            <w:tcW w:w="127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1.960</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233</w:t>
            </w:r>
          </w:p>
        </w:tc>
        <w:tc>
          <w:tcPr>
            <w:tcW w:w="127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2.485</w:t>
            </w:r>
          </w:p>
        </w:tc>
      </w:tr>
      <w:tr>
        <w:trPr>
          <w:trHeight w:val="300" w:hRule="atLeast"/>
        </w:trPr>
        <w:tc>
          <w:tcPr>
            <w:tcW w:w="1417"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27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846</w:t>
            </w:r>
          </w:p>
        </w:tc>
        <w:tc>
          <w:tcPr>
            <w:tcW w:w="127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5.654</w:t>
            </w:r>
          </w:p>
        </w:tc>
        <w:tc>
          <w:tcPr>
            <w:tcW w:w="15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552</w:t>
            </w:r>
          </w:p>
        </w:tc>
        <w:tc>
          <w:tcPr>
            <w:tcW w:w="127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7.052</w:t>
            </w:r>
          </w:p>
        </w:tc>
      </w:tr>
    </w:tbl>
    <w:p>
      <w:pPr>
        <w:pStyle w:val="Normal"/>
        <w:jc w:val="right"/>
        <w:rPr/>
      </w:pPr>
      <w:r>
        <w:rPr>
          <w:rStyle w:val="IturriaKar"/>
        </w:rPr>
        <w:t xml:space="preserve"> </w:t>
      </w:r>
      <w:r>
        <w:rPr>
          <w:rStyle w:val="IturriaKar"/>
        </w:rPr>
        <w:t>Iturria: Errolda.</w:t>
      </w:r>
    </w:p>
    <w:p>
      <w:pPr>
        <w:pStyle w:val="Normal"/>
        <w:rPr/>
      </w:pPr>
      <w:r>
        <w:rPr/>
      </w:r>
      <w:r>
        <w:br w:type="page"/>
      </w:r>
    </w:p>
    <w:p>
      <w:pPr>
        <w:pStyle w:val="Ttulo2"/>
        <w:rPr/>
      </w:pPr>
      <w:bookmarkStart w:id="121" w:name="_Toc191031046"/>
      <w:r>
        <w:rPr/>
        <w:t>Emantzipazio maila</w:t>
      </w:r>
      <w:bookmarkEnd w:id="121"/>
    </w:p>
    <w:p>
      <w:pPr>
        <w:pStyle w:val="Normal"/>
        <w:jc w:val="both"/>
        <w:rPr/>
      </w:pPr>
      <w:r>
        <w:rPr/>
        <w:t xml:space="preserve">Atal honetan 18-34 urte bitarteko biztanleriaren emantzipazio maila aztertuko da. Adin tarte honetako pertsonek zailtasun handia izan ohi dute etxebizitza eskuratzeko, eta, ondorioz, administraziotik datorren laguntzaren zatirik handienaren hartzaile izan ohi da. Pasaian 3.124 gazte bizi dira, biztanleria osoaren %18,8a. Adin tarte honetako pertsonak auzo bakoitzean duten pisu erlatiboaren arabera Trintxerpe (%19,8) eta Antxo (%19,6) dira gazte proportzio handiena dutenak eta Donibane (%18,0) naiz San Pedro (%15,7) proportzio apalenekoak. Edonola ere, San Pedro alde batera utzita, elkarren arteko aldeak txikiak dira. Dena den, kontuan hartzekoa da Txintxerpek (1.057 gazte) eta Antxok (936 gazte) dutela kopururik handiena. Orotara Pasaiako gazteen %72,0a (ikus </w:t>
      </w:r>
      <w:r>
        <w:rPr/>
        <w:fldChar w:fldCharType="begin"/>
      </w:r>
      <w:r>
        <w:rPr/>
        <w:instrText xml:space="preserve"> REF _Ref176948765 \h </w:instrText>
      </w:r>
      <w:r>
        <w:rPr/>
        <w:fldChar w:fldCharType="separate"/>
      </w:r>
      <w:r>
        <w:rPr/>
        <w:t>29. Grafikoa</w:t>
      </w:r>
      <w:r>
        <w:rPr/>
        <w:fldChar w:fldCharType="end"/>
      </w:r>
      <w:r>
        <w:rPr/>
        <w:t xml:space="preserve"> eta </w:t>
      </w:r>
      <w:r>
        <w:rPr/>
        <w:fldChar w:fldCharType="begin"/>
      </w:r>
      <w:r>
        <w:rPr/>
        <w:instrText xml:space="preserve"> REF _Ref176948747 \h </w:instrText>
      </w:r>
      <w:r>
        <w:rPr/>
        <w:fldChar w:fldCharType="separate"/>
      </w:r>
      <w:r>
        <w:rPr/>
        <w:t>16. Taula</w:t>
      </w:r>
      <w:r>
        <w:rPr/>
        <w:fldChar w:fldCharType="end"/>
      </w:r>
      <w:r>
        <w:rPr/>
        <w:t xml:space="preserve">). </w:t>
      </w:r>
    </w:p>
    <w:p>
      <w:pPr>
        <w:pStyle w:val="Normal"/>
        <w:jc w:val="both"/>
        <w:rPr/>
      </w:pPr>
      <w:r>
        <w:rPr/>
      </w:r>
    </w:p>
    <w:p>
      <w:pPr>
        <w:pStyle w:val="Caption"/>
        <w:rPr/>
      </w:pPr>
      <w:bookmarkStart w:id="122" w:name="_Toc191031103"/>
      <w:bookmarkStart w:id="123" w:name="_Ref176948765"/>
      <w:r>
        <w:rPr/>
        <w:fldChar w:fldCharType="begin"/>
      </w:r>
      <w:r>
        <w:rPr/>
        <w:instrText xml:space="preserve"> SEQ Grafikoa \* ARABIC </w:instrText>
      </w:r>
      <w:r>
        <w:rPr/>
        <w:fldChar w:fldCharType="separate"/>
      </w:r>
      <w:r>
        <w:rPr/>
        <w:t>29</w:t>
      </w:r>
      <w:r>
        <w:rPr/>
        <w:fldChar w:fldCharType="end"/>
      </w:r>
      <w:r>
        <w:rPr/>
        <w:t>. Grafikoa</w:t>
      </w:r>
      <w:bookmarkEnd w:id="123"/>
      <w:r>
        <w:rPr/>
        <w:t>: 18-34 urte bitarteko pertsonen pisu erlatiboa auzoaren arabera (%).</w:t>
        <w:br/>
        <w:t>Pasaia, 2025</w:t>
      </w:r>
      <w:bookmarkEnd w:id="122"/>
    </w:p>
    <w:p>
      <w:pPr>
        <w:pStyle w:val="Iturria"/>
        <w:rPr>
          <w:rStyle w:val="IturriaKar"/>
        </w:rPr>
      </w:pPr>
      <w:r>
        <w:rPr/>
        <w:drawing>
          <wp:inline distT="0" distB="0" distL="0" distR="0">
            <wp:extent cx="5391150" cy="3200400"/>
            <wp:effectExtent l="0" t="0" r="0" b="0"/>
            <wp:docPr id="32" name="Imagen23" descr="Hau duen irudia testua, pantaila-argazkia, lerroa, diagram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23" descr="Hau duen irudia testua, pantaila-argazkia, lerroa, diagrama&#10;&#10;Baliteke AAk sortutako edukia zuzena ez izatea."/>
                    <pic:cNvPicPr>
                      <a:picLocks noChangeAspect="1" noChangeArrowheads="1"/>
                    </pic:cNvPicPr>
                  </pic:nvPicPr>
                  <pic:blipFill>
                    <a:blip r:embed="rId33"/>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Errolda.</w:t>
      </w:r>
    </w:p>
    <w:p>
      <w:pPr>
        <w:pStyle w:val="Iturria"/>
        <w:jc w:val="both"/>
        <w:rPr>
          <w:color w:val="auto"/>
          <w:sz w:val="22"/>
          <w:szCs w:val="22"/>
        </w:rPr>
      </w:pPr>
      <w:r>
        <w:rPr>
          <w:color w:val="auto"/>
          <w:sz w:val="22"/>
          <w:szCs w:val="22"/>
        </w:rPr>
        <w:t>Emantzipatutako gazteen kopurua identifikatzeko azken erroldako datuen ustiapena egin da. 18-34 urte bitarteko gazte bat emantzipatuta dagoela esateko hipotesi bat baliatu da: bere bizikidetza-unitate berean ezin da bera baino hogei urte gehiago dituen pertsonarik bizi. Baliteke baldintza honek gazte emantzipatuen unibertso osoa ez identifikatzea, familia egitura tradizionalari erantzuten baitio, baina eskuragarri dauden datu kuantitatiboetatik hurbilpen zehatzena egiteko modua da.</w:t>
      </w:r>
    </w:p>
    <w:p>
      <w:pPr>
        <w:pStyle w:val="Iturria"/>
        <w:jc w:val="both"/>
        <w:rPr>
          <w:color w:val="auto"/>
          <w:sz w:val="22"/>
          <w:szCs w:val="22"/>
        </w:rPr>
      </w:pPr>
      <w:r>
        <w:rPr>
          <w:color w:val="auto"/>
          <w:sz w:val="22"/>
          <w:szCs w:val="22"/>
        </w:rPr>
        <w:t xml:space="preserve">Horiek horrela Pasaian 18-34 urte bitarteko 1.077 gazte daude emantzipatuta, udalerriko adin tarte horretako pertsonen %34,5. Gazteen Euskal Behatokiaren 2023ko datuen arabera, EAEko 18-34 urte bitarteko pertsonen emantzipazio tasa %33,5 da. Gipuzkoan, berriz, %30,4 (Gazteen Euskal Behatokia, 2023). Hortaz, Pasaiako emantzipatutako gazteen ehunekoa bere herrialdekoaren eta autonomi erkidegokoaren ehunekoaren gainetik dabil, azken kasuan aldea txikia izan arren. Datu hauetan ez daude emantzipatzeko udalerria utzi duten gazteen informaziorik (ikus </w:t>
      </w:r>
      <w:r>
        <w:rPr>
          <w:color w:val="auto"/>
          <w:sz w:val="22"/>
          <w:szCs w:val="22"/>
        </w:rPr>
        <w:fldChar w:fldCharType="begin"/>
      </w:r>
      <w:r>
        <w:rPr>
          <w:sz w:val="22"/>
          <w:szCs w:val="22"/>
          <w:color w:val="auto"/>
        </w:rPr>
        <w:instrText xml:space="preserve"> REF _Ref176948736 \h </w:instrText>
      </w:r>
      <w:r>
        <w:rPr>
          <w:sz w:val="22"/>
          <w:szCs w:val="22"/>
          <w:color w:val="auto"/>
        </w:rPr>
        <w:fldChar w:fldCharType="separate"/>
      </w:r>
      <w:r>
        <w:rPr>
          <w:sz w:val="22"/>
          <w:szCs w:val="22"/>
          <w:color w:val="auto"/>
        </w:rPr>
        <w:t>30. Grafikoa</w:t>
      </w:r>
      <w:r>
        <w:rPr>
          <w:sz w:val="22"/>
          <w:szCs w:val="22"/>
          <w:color w:val="auto"/>
        </w:rPr>
        <w:fldChar w:fldCharType="end"/>
      </w:r>
      <w:r>
        <w:rPr>
          <w:color w:val="auto"/>
          <w:sz w:val="22"/>
          <w:szCs w:val="22"/>
        </w:rPr>
        <w:t xml:space="preserve">, </w:t>
      </w:r>
      <w:r>
        <w:rPr>
          <w:color w:val="auto"/>
          <w:sz w:val="22"/>
          <w:szCs w:val="22"/>
        </w:rPr>
        <w:fldChar w:fldCharType="begin"/>
      </w:r>
      <w:r>
        <w:rPr>
          <w:sz w:val="22"/>
          <w:szCs w:val="22"/>
          <w:color w:val="auto"/>
        </w:rPr>
        <w:instrText xml:space="preserve"> REF _Ref176948747 \h </w:instrText>
      </w:r>
      <w:r>
        <w:rPr>
          <w:sz w:val="22"/>
          <w:szCs w:val="22"/>
          <w:color w:val="auto"/>
        </w:rPr>
        <w:fldChar w:fldCharType="separate"/>
      </w:r>
      <w:r>
        <w:rPr>
          <w:sz w:val="22"/>
          <w:szCs w:val="22"/>
          <w:color w:val="auto"/>
        </w:rPr>
        <w:t>16. Taula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_Ref176948814 \h </w:instrText>
      </w:r>
      <w:r>
        <w:rPr>
          <w:sz w:val="22"/>
          <w:szCs w:val="22"/>
          <w:color w:val="auto"/>
        </w:rPr>
        <w:fldChar w:fldCharType="separate"/>
      </w:r>
      <w:r>
        <w:rPr>
          <w:sz w:val="22"/>
          <w:szCs w:val="22"/>
          <w:color w:val="auto"/>
        </w:rPr>
        <w:t>3. Irudia</w:t>
      </w:r>
      <w:r>
        <w:rPr>
          <w:sz w:val="22"/>
          <w:szCs w:val="22"/>
          <w:color w:val="auto"/>
        </w:rPr>
        <w:fldChar w:fldCharType="end"/>
      </w:r>
      <w:r>
        <w:rPr>
          <w:color w:val="auto"/>
          <w:sz w:val="22"/>
          <w:szCs w:val="22"/>
        </w:rPr>
        <w:t xml:space="preserve">). </w:t>
      </w:r>
    </w:p>
    <w:p>
      <w:pPr>
        <w:pStyle w:val="Iturria"/>
        <w:jc w:val="both"/>
        <w:rPr>
          <w:rStyle w:val="IturriaKar"/>
        </w:rPr>
      </w:pPr>
      <w:r>
        <w:rPr>
          <w:color w:val="auto"/>
          <w:sz w:val="22"/>
          <w:szCs w:val="22"/>
        </w:rPr>
        <w:t xml:space="preserve">Nolanahi ere, distrituen bakoitzean dauden emantzipatutako 18-34 urte bitarteko pertsonen tasa oso aldakorra da. San Pedro da gazte emantzipatuen proportzio handiena duena (%38,9) nahiz eta gazteen proportzio txikiena duen eta Donibane gutxien duena (%28,7) tartean daude Antxo (%35,6) eta Trintxerpe (%33,6). Pentsatzekoa da alde horiek segur aski zonaldeko eskaintzaren ezaugarriei erantzuten diotela, kontzentrazio dinamikez gain (ikus </w:t>
      </w:r>
      <w:r>
        <w:rPr>
          <w:color w:val="auto"/>
          <w:sz w:val="22"/>
          <w:szCs w:val="22"/>
        </w:rPr>
        <w:fldChar w:fldCharType="begin"/>
      </w:r>
      <w:r>
        <w:rPr>
          <w:sz w:val="22"/>
          <w:szCs w:val="22"/>
          <w:color w:val="auto"/>
        </w:rPr>
        <w:instrText xml:space="preserve"> REF _Ref176948736 \h </w:instrText>
      </w:r>
      <w:r>
        <w:rPr>
          <w:sz w:val="22"/>
          <w:szCs w:val="22"/>
          <w:color w:val="auto"/>
        </w:rPr>
        <w:fldChar w:fldCharType="separate"/>
      </w:r>
      <w:r>
        <w:rPr>
          <w:sz w:val="22"/>
          <w:szCs w:val="22"/>
          <w:color w:val="auto"/>
        </w:rPr>
        <w:t>30.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_Ref176948747 \h </w:instrText>
      </w:r>
      <w:r>
        <w:rPr>
          <w:sz w:val="22"/>
          <w:szCs w:val="22"/>
          <w:color w:val="auto"/>
        </w:rPr>
        <w:fldChar w:fldCharType="separate"/>
      </w:r>
      <w:r>
        <w:rPr>
          <w:sz w:val="22"/>
          <w:szCs w:val="22"/>
          <w:color w:val="auto"/>
        </w:rPr>
        <w:t>16. Taula</w:t>
      </w:r>
      <w:r>
        <w:rPr>
          <w:sz w:val="22"/>
          <w:szCs w:val="22"/>
          <w:color w:val="auto"/>
        </w:rPr>
        <w:fldChar w:fldCharType="end"/>
      </w:r>
      <w:r>
        <w:rPr>
          <w:color w:val="auto"/>
          <w:sz w:val="22"/>
          <w:szCs w:val="22"/>
        </w:rPr>
        <w:t xml:space="preserve">). </w:t>
      </w:r>
    </w:p>
    <w:p>
      <w:pPr>
        <w:pStyle w:val="Caption"/>
        <w:rPr/>
      </w:pPr>
      <w:bookmarkStart w:id="124" w:name="_Toc191031104"/>
      <w:bookmarkStart w:id="125" w:name="_Ref176948736"/>
      <w:r>
        <w:rPr/>
        <w:fldChar w:fldCharType="begin"/>
      </w:r>
      <w:r>
        <w:rPr/>
        <w:instrText xml:space="preserve"> SEQ Grafikoa \* ARABIC </w:instrText>
      </w:r>
      <w:r>
        <w:rPr/>
        <w:fldChar w:fldCharType="separate"/>
      </w:r>
      <w:r>
        <w:rPr/>
        <w:t>30</w:t>
      </w:r>
      <w:r>
        <w:rPr/>
        <w:fldChar w:fldCharType="end"/>
      </w:r>
      <w:r>
        <w:rPr/>
        <w:t>. Grafikoa</w:t>
      </w:r>
      <w:bookmarkEnd w:id="125"/>
      <w:r>
        <w:rPr/>
        <w:t>: Emantzipatutako 18-34 urte bitarteko pertsonen tasa auzoaren arabera (%).</w:t>
        <w:br/>
        <w:t>Pasaia, 2025</w:t>
      </w:r>
      <w:bookmarkEnd w:id="124"/>
    </w:p>
    <w:p>
      <w:pPr>
        <w:pStyle w:val="Iturria"/>
        <w:rPr>
          <w:rStyle w:val="2izenburuaKar"/>
          <w:vertAlign w:val="superscript"/>
        </w:rPr>
      </w:pPr>
      <w:r>
        <w:rPr/>
        <w:drawing>
          <wp:inline distT="0" distB="0" distL="0" distR="0">
            <wp:extent cx="5391150" cy="3200400"/>
            <wp:effectExtent l="0" t="0" r="0" b="0"/>
            <wp:docPr id="33" name="Imagen24" descr="Hau duen irudia testua, pantaila-argazkia, Bataiarri, zenbaki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24" descr="Hau duen irudia testua, pantaila-argazkia, Bataiarri, zenbakia&#10;&#10;Baliteke AAk sortutako edukia zuzena ez izatea."/>
                    <pic:cNvPicPr>
                      <a:picLocks noChangeAspect="1" noChangeArrowheads="1"/>
                    </pic:cNvPicPr>
                  </pic:nvPicPr>
                  <pic:blipFill>
                    <a:blip r:embed="rId34"/>
                    <a:stretch>
                      <a:fillRect/>
                    </a:stretch>
                  </pic:blipFill>
                  <pic:spPr bwMode="auto">
                    <a:xfrm>
                      <a:off x="0" y="0"/>
                      <a:ext cx="5391150" cy="3200400"/>
                    </a:xfrm>
                    <a:prstGeom prst="rect">
                      <a:avLst/>
                    </a:prstGeom>
                  </pic:spPr>
                </pic:pic>
              </a:graphicData>
            </a:graphic>
          </wp:inline>
        </w:drawing>
      </w:r>
    </w:p>
    <w:p>
      <w:pPr>
        <w:pStyle w:val="Iturria"/>
        <w:rPr>
          <w:rStyle w:val="IturriaKar"/>
        </w:rPr>
      </w:pPr>
      <w:r>
        <w:rPr>
          <w:rStyle w:val="2izenburuaKar"/>
        </w:rPr>
        <w:t xml:space="preserve"> </w:t>
      </w:r>
      <w:r>
        <w:rPr>
          <w:rStyle w:val="IturriaKar"/>
        </w:rPr>
        <w:t>Iturria: Errolda.</w:t>
      </w:r>
    </w:p>
    <w:p>
      <w:pPr>
        <w:pStyle w:val="Iturria"/>
        <w:jc w:val="left"/>
        <w:rPr/>
      </w:pPr>
      <w:r>
        <w:rPr/>
      </w:r>
    </w:p>
    <w:p>
      <w:pPr>
        <w:pStyle w:val="Caption"/>
        <w:rPr/>
      </w:pPr>
      <w:bookmarkStart w:id="126" w:name="_Toc191031159"/>
      <w:bookmarkStart w:id="127" w:name="_Ref176948747"/>
      <w:r>
        <w:rPr/>
        <w:fldChar w:fldCharType="begin"/>
      </w:r>
      <w:r>
        <w:rPr/>
        <w:instrText xml:space="preserve"> SEQ Taula \* ARABIC </w:instrText>
      </w:r>
      <w:r>
        <w:rPr/>
        <w:fldChar w:fldCharType="separate"/>
      </w:r>
      <w:r>
        <w:rPr/>
        <w:t>16</w:t>
      </w:r>
      <w:r>
        <w:rPr/>
        <w:fldChar w:fldCharType="end"/>
      </w:r>
      <w:r>
        <w:rPr/>
        <w:t>. Taula</w:t>
      </w:r>
      <w:bookmarkEnd w:id="127"/>
      <w:r>
        <w:rPr/>
        <w:t>: 18-34 urte bitarteko gazteak emantzipazio egoeraren eta auzoaren arabera (kop.).</w:t>
        <w:br/>
        <w:t>Pasaia, 2025</w:t>
      </w:r>
      <w:bookmarkEnd w:id="126"/>
    </w:p>
    <w:tbl>
      <w:tblPr>
        <w:tblW w:w="609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75"/>
        <w:gridCol w:w="1582"/>
        <w:gridCol w:w="1622"/>
        <w:gridCol w:w="1416"/>
      </w:tblGrid>
      <w:tr>
        <w:trPr>
          <w:trHeight w:val="300" w:hRule="atLeast"/>
        </w:trPr>
        <w:tc>
          <w:tcPr>
            <w:tcW w:w="147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58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Emantzipatutako gazteak</w:t>
            </w:r>
          </w:p>
        </w:tc>
        <w:tc>
          <w:tcPr>
            <w:tcW w:w="162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Emantzipatu gabeko gaztea</w:t>
            </w:r>
          </w:p>
        </w:tc>
        <w:tc>
          <w:tcPr>
            <w:tcW w:w="1416"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4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5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375</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677</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1.052</w:t>
            </w:r>
          </w:p>
        </w:tc>
      </w:tr>
      <w:tr>
        <w:trPr>
          <w:trHeight w:val="300" w:hRule="atLeast"/>
        </w:trPr>
        <w:tc>
          <w:tcPr>
            <w:tcW w:w="14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5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113</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281</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394</w:t>
            </w:r>
          </w:p>
        </w:tc>
      </w:tr>
      <w:tr>
        <w:trPr>
          <w:trHeight w:val="300" w:hRule="atLeast"/>
        </w:trPr>
        <w:tc>
          <w:tcPr>
            <w:tcW w:w="14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5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187</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294</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481</w:t>
            </w:r>
          </w:p>
        </w:tc>
      </w:tr>
      <w:tr>
        <w:trPr>
          <w:trHeight w:val="300" w:hRule="atLeast"/>
        </w:trPr>
        <w:tc>
          <w:tcPr>
            <w:tcW w:w="147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5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402</w:t>
            </w:r>
          </w:p>
        </w:tc>
        <w:tc>
          <w:tcPr>
            <w:tcW w:w="162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795</w:t>
            </w:r>
          </w:p>
        </w:tc>
        <w:tc>
          <w:tcPr>
            <w:tcW w:w="1416"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1.197</w:t>
            </w:r>
          </w:p>
        </w:tc>
      </w:tr>
      <w:tr>
        <w:trPr>
          <w:trHeight w:val="300" w:hRule="atLeast"/>
        </w:trPr>
        <w:tc>
          <w:tcPr>
            <w:tcW w:w="1475"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582"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1.077</w:t>
            </w:r>
          </w:p>
        </w:tc>
        <w:tc>
          <w:tcPr>
            <w:tcW w:w="1622"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2.047</w:t>
            </w:r>
          </w:p>
        </w:tc>
        <w:tc>
          <w:tcPr>
            <w:tcW w:w="1416"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3.124</w:t>
            </w:r>
          </w:p>
        </w:tc>
      </w:tr>
    </w:tbl>
    <w:p>
      <w:pPr>
        <w:pStyle w:val="Iturria"/>
        <w:rPr>
          <w:rStyle w:val="IturriaKar"/>
        </w:rPr>
      </w:pPr>
      <w:r>
        <w:rPr>
          <w:rStyle w:val="IturriaKar"/>
        </w:rPr>
        <w:t>Iturria: Errolda.</w:t>
      </w:r>
    </w:p>
    <w:p>
      <w:pPr>
        <w:pStyle w:val="Iturria"/>
        <w:rPr>
          <w:rStyle w:val="IturriaKar"/>
        </w:rPr>
      </w:pPr>
      <w:r>
        <w:rPr/>
      </w:r>
    </w:p>
    <w:p>
      <w:pPr>
        <w:pStyle w:val="Iturria"/>
        <w:rPr>
          <w:rStyle w:val="IturriaKar"/>
        </w:rPr>
      </w:pPr>
      <w:r>
        <w:rPr/>
      </w:r>
    </w:p>
    <w:p>
      <w:pPr>
        <w:pStyle w:val="Normal"/>
        <w:rPr>
          <w:rStyle w:val="IturriaKar"/>
        </w:rPr>
      </w:pPr>
      <w:r>
        <w:rPr/>
      </w:r>
      <w:r>
        <w:br w:type="page"/>
      </w:r>
    </w:p>
    <w:p>
      <w:pPr>
        <w:pStyle w:val="Caption"/>
        <w:rPr/>
      </w:pPr>
      <w:bookmarkStart w:id="128" w:name="_Toc191031193"/>
      <w:bookmarkStart w:id="129" w:name="_Ref176948814"/>
      <w:r>
        <w:rPr/>
        <w:fldChar w:fldCharType="begin"/>
      </w:r>
      <w:r>
        <w:rPr/>
        <w:instrText xml:space="preserve"> SEQ Irudia \* ARABIC </w:instrText>
      </w:r>
      <w:r>
        <w:rPr/>
        <w:fldChar w:fldCharType="separate"/>
      </w:r>
      <w:r>
        <w:rPr/>
        <w:t>3</w:t>
      </w:r>
      <w:r>
        <w:rPr/>
        <w:fldChar w:fldCharType="end"/>
      </w:r>
      <w:r>
        <w:rPr/>
        <w:t>. Irudia</w:t>
      </w:r>
      <w:bookmarkEnd w:id="129"/>
      <w:r>
        <w:rPr/>
        <w:t>: Emantzipatutako 18-34 urte bitarteko pertsonen bero mapa.</w:t>
        <w:br/>
        <w:t>Pasaia, 2025</w:t>
      </w:r>
      <w:bookmarkEnd w:id="128"/>
    </w:p>
    <w:p>
      <w:pPr>
        <w:pStyle w:val="Normal"/>
        <w:rPr/>
      </w:pPr>
      <w:r>
        <w:rPr/>
        <w:drawing>
          <wp:inline distT="0" distB="0" distL="0" distR="0">
            <wp:extent cx="5400040" cy="3816350"/>
            <wp:effectExtent l="0" t="0" r="0" b="0"/>
            <wp:docPr id="34" name="Irudia 13" descr="Hau duen irudia mapa, testu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rudia 13" descr="Hau duen irudia mapa, testua&#10;&#10;Azalpena automatikoki sortu da"/>
                    <pic:cNvPicPr>
                      <a:picLocks noChangeAspect="1" noChangeArrowheads="1"/>
                    </pic:cNvPicPr>
                  </pic:nvPicPr>
                  <pic:blipFill>
                    <a:blip r:embed="rId35"/>
                    <a:stretch>
                      <a:fillRect/>
                    </a:stretch>
                  </pic:blipFill>
                  <pic:spPr bwMode="auto">
                    <a:xfrm>
                      <a:off x="0" y="0"/>
                      <a:ext cx="5400040" cy="3816350"/>
                    </a:xfrm>
                    <a:prstGeom prst="rect">
                      <a:avLst/>
                    </a:prstGeom>
                  </pic:spPr>
                </pic:pic>
              </a:graphicData>
            </a:graphic>
          </wp:inline>
        </w:drawing>
      </w:r>
    </w:p>
    <w:p>
      <w:pPr>
        <w:pStyle w:val="Iturria"/>
        <w:rPr>
          <w:rStyle w:val="IturriaKar"/>
        </w:rPr>
      </w:pPr>
      <w:r>
        <w:rPr>
          <w:rStyle w:val="2izenburuaKar"/>
        </w:rPr>
        <w:t xml:space="preserve"> </w:t>
      </w:r>
      <w:r>
        <w:rPr>
          <w:rStyle w:val="IturriaKar"/>
        </w:rPr>
        <w:t>Iturria: Errolda.</w:t>
      </w:r>
    </w:p>
    <w:p>
      <w:pPr>
        <w:pStyle w:val="Iturria"/>
        <w:rPr>
          <w:rStyle w:val="IturriaKar"/>
        </w:rPr>
      </w:pPr>
      <w:r>
        <w:rPr/>
      </w:r>
    </w:p>
    <w:p>
      <w:pPr>
        <w:pStyle w:val="Normal"/>
        <w:rPr/>
      </w:pPr>
      <w:r>
        <w:rPr/>
      </w:r>
      <w:r>
        <w:br w:type="page"/>
      </w:r>
    </w:p>
    <w:p>
      <w:pPr>
        <w:pStyle w:val="Ttulo2"/>
        <w:rPr/>
      </w:pPr>
      <w:bookmarkStart w:id="130" w:name="_Toc191031047"/>
      <w:r>
        <w:rPr/>
        <w:t>Prospektiba</w:t>
      </w:r>
      <w:bookmarkEnd w:id="130"/>
    </w:p>
    <w:p>
      <w:pPr>
        <w:pStyle w:val="Normal"/>
        <w:jc w:val="both"/>
        <w:rPr/>
      </w:pPr>
      <w:r>
        <w:rPr/>
        <w:t xml:space="preserve">Biztanleriaren prospektiba oinarri hartuta bizikidetza-unitateen prospektiba egin da. Hurrengo 15 urteetan Pasaiako bizikidetza-unitateak %8,6 inguru haziko dira: 7.052 bizikidetza-unitate izatetik 7.713 bizikidetza-unitate izatera, 661 gehiago. Gorakada hori nabarmena da eta gaur egungo etxebizitza parkearen gaineko presioa handituko du (ikus </w:t>
      </w:r>
      <w:r>
        <w:rPr/>
        <w:fldChar w:fldCharType="begin"/>
      </w:r>
      <w:r>
        <w:rPr/>
        <w:instrText xml:space="preserve"> REF _Ref176948871 \h </w:instrText>
      </w:r>
      <w:r>
        <w:rPr/>
        <w:fldChar w:fldCharType="separate"/>
      </w:r>
      <w:r>
        <w:rPr/>
        <w:t>31. Grafikoa</w:t>
      </w:r>
      <w:r>
        <w:rPr/>
        <w:fldChar w:fldCharType="end"/>
      </w:r>
      <w:r>
        <w:rPr/>
        <w:t xml:space="preserve"> eta </w:t>
      </w:r>
      <w:r>
        <w:rPr/>
        <w:fldChar w:fldCharType="begin"/>
      </w:r>
      <w:r>
        <w:rPr/>
        <w:instrText xml:space="preserve"> REF _Ref176948884 \h </w:instrText>
      </w:r>
      <w:r>
        <w:rPr/>
        <w:fldChar w:fldCharType="separate"/>
      </w:r>
      <w:r>
        <w:rPr/>
        <w:t>17. Taula</w:t>
      </w:r>
      <w:r>
        <w:rPr/>
        <w:fldChar w:fldCharType="end"/>
      </w:r>
      <w:r>
        <w:rPr/>
        <w:t>).</w:t>
      </w:r>
    </w:p>
    <w:p>
      <w:pPr>
        <w:pStyle w:val="Normal"/>
        <w:jc w:val="both"/>
        <w:rPr/>
      </w:pPr>
      <w:r>
        <w:rPr/>
        <w:t>Bizikidetza-unitateen gorakadaren arrazoia bat baino gehiago izango dira: biztanleria hazkundea, batetik, eta bizikidetza-unitateen batez besteko biztanle kopuruaren beherakada, bestetik. Izan ere, zahartzearen eta konbibentzia mota be</w:t>
      </w:r>
      <w:r>
        <w:rPr>
          <w:shd w:fill="FFFFFF" w:val="clear"/>
        </w:rPr>
        <w:t>rrien ondorioz bizikidetza-unitateen batez besteko biztanle kopurua gaur egun 2,36 izatetik 2,33 izatera jaitsiko da. Hau da, diferentzia txikia izan arren, gaur egun</w:t>
      </w:r>
      <w:r>
        <w:rPr/>
        <w:t xml:space="preserve"> 1.000 biztanle bizitzeko 424 etxebizitza behar badira, 2040an 429 beharko lirateke; bost gehiago (ikus </w:t>
      </w:r>
      <w:r>
        <w:rPr/>
        <w:fldChar w:fldCharType="begin"/>
      </w:r>
      <w:r>
        <w:rPr/>
        <w:instrText xml:space="preserve"> REF _Ref176948932 \h </w:instrText>
      </w:r>
      <w:r>
        <w:rPr/>
        <w:fldChar w:fldCharType="separate"/>
      </w:r>
      <w:r>
        <w:rPr/>
        <w:t>32. Grafikoa</w:t>
      </w:r>
      <w:r>
        <w:rPr/>
        <w:fldChar w:fldCharType="end"/>
      </w:r>
      <w:r>
        <w:rPr/>
        <w:t xml:space="preserve"> eta </w:t>
      </w:r>
      <w:r>
        <w:rPr/>
        <w:fldChar w:fldCharType="begin"/>
      </w:r>
      <w:r>
        <w:rPr/>
        <w:instrText xml:space="preserve"> REF _Ref176948884 \h </w:instrText>
      </w:r>
      <w:r>
        <w:rPr/>
        <w:fldChar w:fldCharType="separate"/>
      </w:r>
      <w:r>
        <w:rPr/>
        <w:t>17. Taula</w:t>
      </w:r>
      <w:r>
        <w:rPr/>
        <w:fldChar w:fldCharType="end"/>
      </w:r>
      <w:r>
        <w:rPr/>
        <w:t>).</w:t>
      </w:r>
    </w:p>
    <w:p>
      <w:pPr>
        <w:pStyle w:val="Normal"/>
        <w:jc w:val="both"/>
        <w:rPr/>
      </w:pPr>
      <w:r>
        <w:rPr/>
      </w:r>
    </w:p>
    <w:p>
      <w:pPr>
        <w:pStyle w:val="Caption"/>
        <w:rPr/>
      </w:pPr>
      <w:bookmarkStart w:id="131" w:name="_Toc191031105"/>
      <w:bookmarkStart w:id="132" w:name="_Ref176948871"/>
      <w:r>
        <w:rPr/>
        <w:fldChar w:fldCharType="begin"/>
      </w:r>
      <w:r>
        <w:rPr/>
        <w:instrText xml:space="preserve"> SEQ Grafikoa \* ARABIC </w:instrText>
      </w:r>
      <w:r>
        <w:rPr/>
        <w:fldChar w:fldCharType="separate"/>
      </w:r>
      <w:r>
        <w:rPr/>
        <w:t>31</w:t>
      </w:r>
      <w:r>
        <w:rPr/>
        <w:fldChar w:fldCharType="end"/>
      </w:r>
      <w:r>
        <w:rPr/>
        <w:t>. Grafikoa</w:t>
      </w:r>
      <w:bookmarkEnd w:id="132"/>
      <w:r>
        <w:rPr/>
        <w:t xml:space="preserve"> Bizikidetza-unitateen prospektiba (%).</w:t>
        <w:br/>
        <w:t>Pasaia, 2009-2040</w:t>
      </w:r>
      <w:bookmarkEnd w:id="131"/>
    </w:p>
    <w:p>
      <w:pPr>
        <w:pStyle w:val="Iturria"/>
        <w:rPr/>
      </w:pPr>
      <w:r>
        <w:rPr/>
        <w:drawing>
          <wp:inline distT="0" distB="0" distL="0" distR="0">
            <wp:extent cx="5390515" cy="3200400"/>
            <wp:effectExtent l="0" t="0" r="0" b="0"/>
            <wp:docPr id="35" name="Irudia 14" descr="Hau duen irudia testua, diagrama, Lurrazal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rudia 14" descr="Hau duen irudia testua, diagrama, Lurrazala, lerroa&#10;&#10;Azalpena automatikoki sortu da"/>
                    <pic:cNvPicPr>
                      <a:picLocks noChangeAspect="1" noChangeArrowheads="1"/>
                    </pic:cNvPicPr>
                  </pic:nvPicPr>
                  <pic:blipFill>
                    <a:blip r:embed="rId36"/>
                    <a:stretch>
                      <a:fillRect/>
                    </a:stretch>
                  </pic:blipFill>
                  <pic:spPr bwMode="auto">
                    <a:xfrm>
                      <a:off x="0" y="0"/>
                      <a:ext cx="5390515" cy="3200400"/>
                    </a:xfrm>
                    <a:prstGeom prst="rect">
                      <a:avLst/>
                    </a:prstGeom>
                  </pic:spPr>
                </pic:pic>
              </a:graphicData>
            </a:graphic>
          </wp:inline>
        </w:drawing>
      </w:r>
      <w:r>
        <w:rPr/>
        <w:t xml:space="preserve"> </w:t>
      </w:r>
      <w:r>
        <w:rPr/>
        <w:t>Iturria: Errolda, Eustat eta INE. Ekoizpen propioa.</w:t>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133" w:name="_Toc191031106"/>
      <w:bookmarkStart w:id="134" w:name="_Ref176948932"/>
      <w:r>
        <w:rPr/>
        <w:fldChar w:fldCharType="begin"/>
      </w:r>
      <w:r>
        <w:rPr/>
        <w:instrText xml:space="preserve"> SEQ Grafikoa \* ARABIC </w:instrText>
      </w:r>
      <w:r>
        <w:rPr/>
        <w:fldChar w:fldCharType="separate"/>
      </w:r>
      <w:r>
        <w:rPr/>
        <w:t>32</w:t>
      </w:r>
      <w:r>
        <w:rPr/>
        <w:fldChar w:fldCharType="end"/>
      </w:r>
      <w:r>
        <w:rPr/>
        <w:t>. Grafikoa</w:t>
      </w:r>
      <w:bookmarkEnd w:id="134"/>
      <w:r>
        <w:rPr/>
        <w:t xml:space="preserve"> Bizikidetza-unitateen batez besteko tamainaren prospektiba (kop.)</w:t>
        <w:br/>
        <w:t>Pasaia, 2009-2040</w:t>
      </w:r>
      <w:bookmarkEnd w:id="133"/>
    </w:p>
    <w:p>
      <w:pPr>
        <w:pStyle w:val="Normal"/>
        <w:rPr/>
      </w:pPr>
      <w:r>
        <w:rPr/>
        <w:drawing>
          <wp:inline distT="0" distB="0" distL="0" distR="0">
            <wp:extent cx="5390515" cy="3200400"/>
            <wp:effectExtent l="0" t="0" r="0" b="0"/>
            <wp:docPr id="36" name="Irudia 15" descr="Hau duen irudia testua, Lurrazala, lerro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rudia 15" descr="Hau duen irudia testua, Lurrazala, lerroa, diagrama&#10;&#10;Azalpena automatikoki sortu da"/>
                    <pic:cNvPicPr>
                      <a:picLocks noChangeAspect="1" noChangeArrowheads="1"/>
                    </pic:cNvPicPr>
                  </pic:nvPicPr>
                  <pic:blipFill>
                    <a:blip r:embed="rId37"/>
                    <a:stretch>
                      <a:fillRect/>
                    </a:stretch>
                  </pic:blipFill>
                  <pic:spPr bwMode="auto">
                    <a:xfrm>
                      <a:off x="0" y="0"/>
                      <a:ext cx="5390515" cy="3200400"/>
                    </a:xfrm>
                    <a:prstGeom prst="rect">
                      <a:avLst/>
                    </a:prstGeom>
                  </pic:spPr>
                </pic:pic>
              </a:graphicData>
            </a:graphic>
          </wp:inline>
        </w:drawing>
      </w:r>
    </w:p>
    <w:p>
      <w:pPr>
        <w:pStyle w:val="Iturria"/>
        <w:rPr/>
      </w:pPr>
      <w:r>
        <w:rPr/>
        <w:t>Iturria: Errolda eta INE. Ekoizpen propioa.</w:t>
      </w:r>
    </w:p>
    <w:p>
      <w:pPr>
        <w:pStyle w:val="Normal"/>
        <w:rPr/>
      </w:pPr>
      <w:r>
        <w:rPr/>
      </w:r>
    </w:p>
    <w:p>
      <w:pPr>
        <w:pStyle w:val="Normal"/>
        <w:rPr/>
      </w:pPr>
      <w:r>
        <w:rPr/>
      </w:r>
    </w:p>
    <w:p>
      <w:pPr>
        <w:pStyle w:val="Caption"/>
        <w:rPr/>
      </w:pPr>
      <w:bookmarkStart w:id="135" w:name="_Toc191031160"/>
      <w:bookmarkStart w:id="136" w:name="_Ref176948884"/>
      <w:r>
        <w:rPr/>
        <w:fldChar w:fldCharType="begin"/>
      </w:r>
      <w:r>
        <w:rPr/>
        <w:instrText xml:space="preserve"> SEQ Taula \* ARABIC </w:instrText>
      </w:r>
      <w:r>
        <w:rPr/>
        <w:fldChar w:fldCharType="separate"/>
      </w:r>
      <w:r>
        <w:rPr/>
        <w:t>17</w:t>
      </w:r>
      <w:r>
        <w:rPr/>
        <w:fldChar w:fldCharType="end"/>
      </w:r>
      <w:r>
        <w:rPr/>
        <w:t>. Taula</w:t>
      </w:r>
      <w:bookmarkEnd w:id="136"/>
      <w:r>
        <w:rPr/>
        <w:t>: Bizikidetza-unitateen prospektiba tamainaren eta urtearen arabera (kop.).</w:t>
        <w:br/>
        <w:t>Pasaia, 2025-2040</w:t>
      </w:r>
      <w:bookmarkEnd w:id="135"/>
    </w:p>
    <w:tbl>
      <w:tblPr>
        <w:tblW w:w="768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960"/>
        <w:gridCol w:w="960"/>
        <w:gridCol w:w="960"/>
        <w:gridCol w:w="960"/>
        <w:gridCol w:w="960"/>
        <w:gridCol w:w="960"/>
        <w:gridCol w:w="960"/>
        <w:gridCol w:w="959"/>
      </w:tblGrid>
      <w:tr>
        <w:trPr>
          <w:trHeight w:val="300" w:hRule="atLeast"/>
        </w:trPr>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Urtea</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1 kide</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 kide</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3 kide</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4 kide</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5 kide</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6 kide</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2025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2.285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2.114</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1.284</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176</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7.052</w:t>
            </w:r>
          </w:p>
        </w:tc>
      </w:tr>
      <w:tr>
        <w:trPr>
          <w:trHeight w:val="300" w:hRule="atLeast"/>
        </w:trPr>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2030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2.338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2.233</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1.314</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256</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180</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7.252</w:t>
            </w:r>
          </w:p>
        </w:tc>
      </w:tr>
      <w:tr>
        <w:trPr>
          <w:trHeight w:val="300" w:hRule="atLeast"/>
        </w:trPr>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2035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2.404</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2.360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1.342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921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185</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7.472</w:t>
            </w:r>
          </w:p>
        </w:tc>
      </w:tr>
      <w:tr>
        <w:trPr>
          <w:trHeight w:val="300" w:hRule="atLeast"/>
        </w:trPr>
        <w:tc>
          <w:tcPr>
            <w:tcW w:w="960"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2040</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2.493</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2.462</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1.369</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933</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264</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192</w:t>
            </w:r>
          </w:p>
        </w:tc>
        <w:tc>
          <w:tcPr>
            <w:tcW w:w="95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7.713</w:t>
            </w:r>
          </w:p>
        </w:tc>
      </w:tr>
    </w:tbl>
    <w:p>
      <w:pPr>
        <w:pStyle w:val="Iturria"/>
        <w:tabs>
          <w:tab w:val="clear" w:pos="708"/>
          <w:tab w:val="center" w:pos="4252" w:leader="none"/>
          <w:tab w:val="right" w:pos="8504" w:leader="none"/>
        </w:tabs>
        <w:rPr/>
      </w:pPr>
      <w:r>
        <w:rPr/>
        <w:tab/>
        <w:t>Iturria: Errolda eta INE. Ekoizpen propioa.</w:t>
      </w:r>
    </w:p>
    <w:p>
      <w:pPr>
        <w:pStyle w:val="Iturria"/>
        <w:tabs>
          <w:tab w:val="clear" w:pos="708"/>
          <w:tab w:val="center" w:pos="4252" w:leader="none"/>
          <w:tab w:val="right" w:pos="8504" w:leader="none"/>
        </w:tabs>
        <w:rPr/>
      </w:pPr>
      <w:r>
        <w:rPr/>
      </w:r>
    </w:p>
    <w:p>
      <w:pPr>
        <w:pStyle w:val="Normal"/>
        <w:rPr>
          <w:color w:val="595959" w:themeColor="text1" w:themeTint="a6"/>
          <w:sz w:val="18"/>
          <w:szCs w:val="18"/>
        </w:rPr>
      </w:pPr>
      <w:r>
        <w:rPr>
          <w:color w:val="595959" w:themeColor="text1" w:themeTint="a6"/>
          <w:sz w:val="18"/>
          <w:szCs w:val="18"/>
        </w:rPr>
      </w:r>
      <w:r>
        <w:br w:type="page"/>
      </w:r>
    </w:p>
    <w:p>
      <w:pPr>
        <w:pStyle w:val="Ttulo1"/>
        <w:rPr/>
      </w:pPr>
      <w:bookmarkStart w:id="137" w:name="_Toc191031048"/>
      <w:r>
        <w:rPr/>
        <w:t>Ezaugarri sozioekonomikoak</w:t>
      </w:r>
      <w:bookmarkEnd w:id="137"/>
    </w:p>
    <w:p>
      <w:pPr>
        <w:pStyle w:val="Normal"/>
        <w:jc w:val="both"/>
        <w:rPr/>
      </w:pPr>
      <w:r>
        <w:rPr/>
        <w:t>Udalerriko biztanleriak dituen ezaugarri sozioekonomikoen azterketak etxebizitza parkearen erabilera eta eskuragarritasuna ulertzeko gakoak ematen ditu. Aktibitate tasak, langabezia tasak edota errenta mailak etxebizitzen eskaeran eta hauen nolakotasunean eragin zuzena dute, bai eta biztanleriak udalerrian bertan edo eskualdean duen distribuzioan ere.</w:t>
      </w:r>
    </w:p>
    <w:p>
      <w:pPr>
        <w:pStyle w:val="Ttulo2"/>
        <w:rPr/>
      </w:pPr>
      <w:bookmarkStart w:id="138" w:name="_Toc191031049"/>
      <w:r>
        <w:rPr/>
        <w:t>Aldagai nagusiak</w:t>
      </w:r>
      <w:bookmarkEnd w:id="138"/>
    </w:p>
    <w:p>
      <w:pPr>
        <w:pStyle w:val="Normal"/>
        <w:jc w:val="both"/>
        <w:rPr/>
      </w:pPr>
      <w:r>
        <w:rPr/>
        <w:t xml:space="preserve">Azken urteetan Pasaiako aktibitate-tasa, pixkanaka bada ere, handituz joan da. 2023ko datuen arabera udalerriko 16 urtetik gorako biztanleen %59,4 dago lanean edo lan bilaketa aktiboan. Ehuneko hau Donostialdeko (%57,6), Gipuzkoako (%57,5) eta EAEko (%57,1) tasaren gainetik dago. Udalerriko aktibitate-tasa sexuaren arabera aztertuta, ordea, desberdintasunak antzematen dira. Azpimarratu beharrekoa da desoreka hori modu positiboan murriztu dela azken urteetan. Emakumeen aktibitate-tasa 2010ean %47,5 izatetik 2023an %56,6 izatera igaro da, gizonen aktibitate-tasa baino 5,8 puntu txikiagoa, 2010ean, ordea, aldea 14,6 puntukoa zen (ikus </w:t>
      </w:r>
      <w:r>
        <w:rPr/>
        <w:fldChar w:fldCharType="begin"/>
      </w:r>
      <w:r>
        <w:rPr/>
        <w:instrText xml:space="preserve"> REF _Ref176948956 \h </w:instrText>
      </w:r>
      <w:r>
        <w:rPr/>
        <w:fldChar w:fldCharType="separate"/>
      </w:r>
      <w:r>
        <w:rPr/>
        <w:t>33. Grafikoa</w:t>
      </w:r>
      <w:r>
        <w:rPr/>
        <w:fldChar w:fldCharType="end"/>
      </w:r>
      <w:r>
        <w:rPr/>
        <w:t xml:space="preserve">, </w:t>
      </w:r>
      <w:r>
        <w:rPr/>
        <w:fldChar w:fldCharType="begin"/>
      </w:r>
      <w:r>
        <w:rPr/>
        <w:instrText xml:space="preserve"> REF _Ref176948963 \h </w:instrText>
      </w:r>
      <w:r>
        <w:rPr/>
        <w:fldChar w:fldCharType="separate"/>
      </w:r>
      <w:r>
        <w:rPr/>
        <w:t>34. Grafikoa</w:t>
      </w:r>
      <w:r>
        <w:rPr/>
        <w:fldChar w:fldCharType="end"/>
      </w:r>
      <w:r>
        <w:rPr/>
        <w:t xml:space="preserve"> eta </w:t>
      </w:r>
      <w:r>
        <w:rPr/>
        <w:fldChar w:fldCharType="begin"/>
      </w:r>
      <w:r>
        <w:rPr/>
        <w:instrText xml:space="preserve"> REF _Ref176948980 \h </w:instrText>
      </w:r>
      <w:r>
        <w:rPr/>
        <w:fldChar w:fldCharType="separate"/>
      </w:r>
      <w:r>
        <w:rPr/>
        <w:t>18. Taula</w:t>
      </w:r>
      <w:r>
        <w:rPr/>
        <w:fldChar w:fldCharType="end"/>
      </w:r>
      <w:r>
        <w:rPr/>
        <w:t>).</w:t>
      </w:r>
    </w:p>
    <w:p>
      <w:pPr>
        <w:pStyle w:val="Normal"/>
        <w:rPr/>
      </w:pPr>
      <w:r>
        <w:rPr/>
      </w:r>
    </w:p>
    <w:p>
      <w:pPr>
        <w:pStyle w:val="Caption"/>
        <w:rPr/>
      </w:pPr>
      <w:bookmarkStart w:id="139" w:name="_Toc191031107"/>
      <w:bookmarkStart w:id="140" w:name="_Ref176948956"/>
      <w:r>
        <w:rPr/>
        <w:fldChar w:fldCharType="begin"/>
      </w:r>
      <w:r>
        <w:rPr/>
        <w:instrText xml:space="preserve"> SEQ Grafikoa \* ARABIC </w:instrText>
      </w:r>
      <w:r>
        <w:rPr/>
        <w:fldChar w:fldCharType="separate"/>
      </w:r>
      <w:r>
        <w:rPr/>
        <w:t>33</w:t>
      </w:r>
      <w:r>
        <w:rPr/>
        <w:fldChar w:fldCharType="end"/>
      </w:r>
      <w:r>
        <w:rPr/>
        <w:t>. Grafikoa</w:t>
      </w:r>
      <w:bookmarkEnd w:id="140"/>
      <w:r>
        <w:rPr/>
        <w:t>: Aktibitate-tasaren bilakaera (%).</w:t>
        <w:br/>
        <w:t>Pasaia eta bere testuingurua, 2010-2023</w:t>
      </w:r>
      <w:bookmarkEnd w:id="139"/>
    </w:p>
    <w:p>
      <w:pPr>
        <w:pStyle w:val="Iturria"/>
        <w:rPr>
          <w:rStyle w:val="IturriaKar"/>
        </w:rPr>
      </w:pPr>
      <w:r>
        <w:rPr/>
        <w:drawing>
          <wp:inline distT="0" distB="0" distL="0" distR="0">
            <wp:extent cx="5390515" cy="3200400"/>
            <wp:effectExtent l="0" t="0" r="0" b="0"/>
            <wp:docPr id="37" name="Imagen25" descr="Hau duen irudia testua, Lurrazala, pantaila-argazki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25" descr="Hau duen irudia testua, Lurrazala, pantaila-argazkia, lerroa&#10;&#10;Azalpena automatikoki sortu da"/>
                    <pic:cNvPicPr>
                      <a:picLocks noChangeAspect="1" noChangeArrowheads="1"/>
                    </pic:cNvPicPr>
                  </pic:nvPicPr>
                  <pic:blipFill>
                    <a:blip r:embed="rId38"/>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Iturria"/>
        <w:rPr>
          <w:rStyle w:val="IturriaKar"/>
        </w:rPr>
      </w:pPr>
      <w:r>
        <w:rPr/>
      </w:r>
    </w:p>
    <w:p>
      <w:pPr>
        <w:pStyle w:val="Normal"/>
        <w:rPr>
          <w:rStyle w:val="IturriaKar"/>
        </w:rPr>
      </w:pPr>
      <w:r>
        <w:rPr/>
      </w:r>
      <w:r>
        <w:br w:type="page"/>
      </w:r>
    </w:p>
    <w:p>
      <w:pPr>
        <w:pStyle w:val="Caption"/>
        <w:rPr/>
      </w:pPr>
      <w:bookmarkStart w:id="141" w:name="_Toc191031108"/>
      <w:bookmarkStart w:id="142" w:name="_Ref176948963"/>
      <w:r>
        <w:rPr/>
        <w:fldChar w:fldCharType="begin"/>
      </w:r>
      <w:r>
        <w:rPr/>
        <w:instrText xml:space="preserve"> SEQ Grafikoa \* ARABIC </w:instrText>
      </w:r>
      <w:r>
        <w:rPr/>
        <w:fldChar w:fldCharType="separate"/>
      </w:r>
      <w:r>
        <w:rPr/>
        <w:t>34</w:t>
      </w:r>
      <w:r>
        <w:rPr/>
        <w:fldChar w:fldCharType="end"/>
      </w:r>
      <w:r>
        <w:rPr/>
        <w:t>. Grafikoa</w:t>
      </w:r>
      <w:bookmarkEnd w:id="142"/>
      <w:r>
        <w:rPr/>
        <w:t>: Aktibitate-tasaren bilakaera sexuaren arabera (%).</w:t>
        <w:br/>
        <w:t>Pasaia, 2010-2023</w:t>
      </w:r>
      <w:bookmarkEnd w:id="141"/>
    </w:p>
    <w:p>
      <w:pPr>
        <w:pStyle w:val="Iturria"/>
        <w:rPr>
          <w:rStyle w:val="IturriaKar"/>
        </w:rPr>
      </w:pPr>
      <w:r>
        <w:rPr/>
        <w:drawing>
          <wp:inline distT="0" distB="0" distL="0" distR="0">
            <wp:extent cx="5390515" cy="3200400"/>
            <wp:effectExtent l="0" t="0" r="0" b="0"/>
            <wp:docPr id="38" name="Imagen26" descr="Hau duen irudia testua, Lurrazala, lerro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26" descr="Hau duen irudia testua, Lurrazala, lerroa, diagrama&#10;&#10;Azalpena automatikoki sortu da"/>
                    <pic:cNvPicPr>
                      <a:picLocks noChangeAspect="1" noChangeArrowheads="1"/>
                    </pic:cNvPicPr>
                  </pic:nvPicPr>
                  <pic:blipFill>
                    <a:blip r:embed="rId39"/>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Caption"/>
        <w:rPr/>
      </w:pPr>
      <w:r>
        <w:rPr/>
      </w:r>
    </w:p>
    <w:p>
      <w:pPr>
        <w:pStyle w:val="Normal"/>
        <w:rPr/>
      </w:pPr>
      <w:r>
        <w:rPr/>
      </w:r>
    </w:p>
    <w:p>
      <w:pPr>
        <w:pStyle w:val="Caption"/>
        <w:rPr/>
      </w:pPr>
      <w:bookmarkStart w:id="143" w:name="_Toc191031161"/>
      <w:bookmarkStart w:id="144" w:name="_Ref176948980"/>
      <w:r>
        <w:rPr/>
        <w:fldChar w:fldCharType="begin"/>
      </w:r>
      <w:r>
        <w:rPr/>
        <w:instrText xml:space="preserve"> SEQ Taula \* ARABIC </w:instrText>
      </w:r>
      <w:r>
        <w:rPr/>
        <w:fldChar w:fldCharType="separate"/>
      </w:r>
      <w:r>
        <w:rPr/>
        <w:t>18</w:t>
      </w:r>
      <w:r>
        <w:rPr/>
        <w:fldChar w:fldCharType="end"/>
      </w:r>
      <w:r>
        <w:rPr/>
        <w:t>. Taula</w:t>
      </w:r>
      <w:bookmarkEnd w:id="144"/>
      <w:r>
        <w:rPr/>
        <w:t>: Aktibitate-tasaren bilakaera sexuaren arabera (%).</w:t>
        <w:br/>
        <w:t>Pasaia, 2010-2023</w:t>
      </w:r>
      <w:bookmarkEnd w:id="143"/>
    </w:p>
    <w:tbl>
      <w:tblPr>
        <w:tblW w:w="67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6"/>
        <w:gridCol w:w="933"/>
        <w:gridCol w:w="935"/>
        <w:gridCol w:w="935"/>
        <w:gridCol w:w="934"/>
        <w:gridCol w:w="934"/>
        <w:gridCol w:w="934"/>
      </w:tblGrid>
      <w:tr>
        <w:trPr>
          <w:trHeight w:val="300" w:hRule="atLeast"/>
        </w:trPr>
        <w:tc>
          <w:tcPr>
            <w:tcW w:w="116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2010</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2015</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47,5</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52,3</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52,3</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53,9</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53,6</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56,6</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62,1</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63,2</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61,2</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62,6</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61,9</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62,4</w:t>
            </w:r>
          </w:p>
        </w:tc>
      </w:tr>
      <w:tr>
        <w:trPr>
          <w:trHeight w:val="300" w:hRule="atLeast"/>
        </w:trPr>
        <w:tc>
          <w:tcPr>
            <w:tcW w:w="116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54,5</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57,5</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56,6</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58,0</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57,6</w:t>
            </w:r>
          </w:p>
        </w:tc>
        <w:tc>
          <w:tcPr>
            <w:tcW w:w="9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59,4</w:t>
            </w:r>
          </w:p>
        </w:tc>
      </w:tr>
    </w:tbl>
    <w:p>
      <w:pPr>
        <w:pStyle w:val="Iturria"/>
        <w:rPr/>
      </w:pPr>
      <w:r>
        <w:rPr>
          <w:rStyle w:val="IturriaKar"/>
        </w:rPr>
        <w:t>Iturria: Eustat.</w:t>
      </w:r>
    </w:p>
    <w:p>
      <w:pPr>
        <w:pStyle w:val="Normal"/>
        <w:jc w:val="both"/>
        <w:rPr>
          <w:color w:val="595959" w:themeColor="text1" w:themeTint="a6"/>
          <w:sz w:val="18"/>
          <w:szCs w:val="18"/>
        </w:rPr>
      </w:pPr>
      <w:r>
        <w:rPr/>
        <w:t xml:space="preserve">Modu berean, udalerriko okupazio-tasa (%54,3) Donostialdekoa (%53,6), Gipuzkoakoa (%53,4) eta EAEkoaren (%52,2) gainetik dago. Kasu honetan sexuaren araberako desoreka, azken urteetan murriztu egin bada ere, nabarmen jarraitzen du: emakumeen okupazio-tasa (%51,3) gizonena baino 6,3 puntu apalagoa da (%57,6) (ikus </w:t>
      </w:r>
      <w:r>
        <w:rPr/>
        <w:fldChar w:fldCharType="begin"/>
      </w:r>
      <w:r>
        <w:rPr/>
        <w:instrText xml:space="preserve"> REF _Ref176949020 \h </w:instrText>
      </w:r>
      <w:r>
        <w:rPr/>
        <w:fldChar w:fldCharType="separate"/>
      </w:r>
      <w:r>
        <w:rPr/>
        <w:t>35. Grafikoa</w:t>
      </w:r>
      <w:r>
        <w:rPr/>
        <w:fldChar w:fldCharType="end"/>
      </w:r>
      <w:r>
        <w:rPr/>
        <w:t xml:space="preserve">, </w:t>
      </w:r>
      <w:r>
        <w:rPr/>
        <w:fldChar w:fldCharType="begin"/>
      </w:r>
      <w:r>
        <w:rPr/>
        <w:instrText xml:space="preserve"> REF _Ref176949025 \h </w:instrText>
      </w:r>
      <w:r>
        <w:rPr/>
        <w:fldChar w:fldCharType="separate"/>
      </w:r>
      <w:r>
        <w:rPr/>
        <w:t>36. Grafikoa</w:t>
      </w:r>
      <w:r>
        <w:rPr/>
        <w:fldChar w:fldCharType="end"/>
      </w:r>
      <w:r>
        <w:rPr/>
        <w:t xml:space="preserve"> eta </w:t>
      </w:r>
      <w:r>
        <w:rPr/>
        <w:fldChar w:fldCharType="begin"/>
      </w:r>
      <w:r>
        <w:rPr/>
        <w:instrText xml:space="preserve"> REF _Ref176949008 \h </w:instrText>
      </w:r>
      <w:r>
        <w:rPr/>
        <w:fldChar w:fldCharType="separate"/>
      </w:r>
      <w:r>
        <w:rPr/>
        <w:t>19. Taula</w:t>
      </w:r>
      <w:r>
        <w:rPr/>
        <w:fldChar w:fldCharType="end"/>
      </w:r>
      <w:r>
        <w:rPr/>
        <w:t>).</w:t>
      </w:r>
    </w:p>
    <w:p>
      <w:pPr>
        <w:pStyle w:val="Iturria"/>
        <w:rPr/>
      </w:pPr>
      <w:r>
        <w:rPr/>
      </w:r>
    </w:p>
    <w:p>
      <w:pPr>
        <w:pStyle w:val="Normal"/>
        <w:jc w:val="both"/>
        <w:rPr>
          <w:color w:val="595959" w:themeColor="text1" w:themeTint="a6"/>
          <w:sz w:val="18"/>
          <w:szCs w:val="18"/>
        </w:rPr>
      </w:pPr>
      <w:r>
        <w:rPr>
          <w:color w:val="595959" w:themeColor="text1" w:themeTint="a6"/>
          <w:sz w:val="18"/>
          <w:szCs w:val="18"/>
        </w:rPr>
      </w:r>
      <w:r>
        <w:br w:type="page"/>
      </w:r>
    </w:p>
    <w:p>
      <w:pPr>
        <w:pStyle w:val="Caption"/>
        <w:rPr/>
      </w:pPr>
      <w:bookmarkStart w:id="145" w:name="_Toc191031109"/>
      <w:bookmarkStart w:id="146" w:name="_Ref176949020"/>
      <w:r>
        <w:rPr/>
        <w:fldChar w:fldCharType="begin"/>
      </w:r>
      <w:r>
        <w:rPr/>
        <w:instrText xml:space="preserve"> SEQ Grafikoa \* ARABIC </w:instrText>
      </w:r>
      <w:r>
        <w:rPr/>
        <w:fldChar w:fldCharType="separate"/>
      </w:r>
      <w:r>
        <w:rPr/>
        <w:t>35</w:t>
      </w:r>
      <w:r>
        <w:rPr/>
        <w:fldChar w:fldCharType="end"/>
      </w:r>
      <w:r>
        <w:rPr/>
        <w:t>. Grafikoa</w:t>
      </w:r>
      <w:bookmarkEnd w:id="146"/>
      <w:r>
        <w:rPr/>
        <w:t>: Okupazio-tasaren bilakaera (%).</w:t>
        <w:br/>
        <w:t>Pasaia eta bere testuingurua, 2010-2023</w:t>
      </w:r>
      <w:bookmarkEnd w:id="145"/>
    </w:p>
    <w:p>
      <w:pPr>
        <w:pStyle w:val="Iturria"/>
        <w:rPr/>
      </w:pPr>
      <w:r>
        <w:rPr/>
        <w:drawing>
          <wp:inline distT="0" distB="0" distL="0" distR="0">
            <wp:extent cx="5390515" cy="3200400"/>
            <wp:effectExtent l="0" t="0" r="0" b="0"/>
            <wp:docPr id="39" name="Imagen27" descr="Hau duen irudia testua, Lurrazala, pantaila-argazki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27" descr="Hau duen irudia testua, Lurrazala, pantaila-argazkia, lerroa&#10;&#10;Azalpena automatikoki sortu da"/>
                    <pic:cNvPicPr>
                      <a:picLocks noChangeAspect="1" noChangeArrowheads="1"/>
                    </pic:cNvPicPr>
                  </pic:nvPicPr>
                  <pic:blipFill>
                    <a:blip r:embed="rId40"/>
                    <a:stretch>
                      <a:fillRect/>
                    </a:stretch>
                  </pic:blipFill>
                  <pic:spPr bwMode="auto">
                    <a:xfrm>
                      <a:off x="0" y="0"/>
                      <a:ext cx="5390515" cy="3200400"/>
                    </a:xfrm>
                    <a:prstGeom prst="rect">
                      <a:avLst/>
                    </a:prstGeom>
                  </pic:spPr>
                </pic:pic>
              </a:graphicData>
            </a:graphic>
          </wp:inline>
        </w:drawing>
      </w:r>
      <w:r>
        <w:rPr>
          <w:rStyle w:val="IturriaKar"/>
        </w:rPr>
        <w:t>Iturria: Eustat.</w:t>
      </w:r>
    </w:p>
    <w:p>
      <w:pPr>
        <w:pStyle w:val="Normal"/>
        <w:rPr/>
      </w:pPr>
      <w:r>
        <w:rPr/>
      </w:r>
    </w:p>
    <w:p>
      <w:pPr>
        <w:pStyle w:val="Normal"/>
        <w:rPr/>
      </w:pPr>
      <w:r>
        <w:rPr/>
      </w:r>
    </w:p>
    <w:p>
      <w:pPr>
        <w:pStyle w:val="Caption"/>
        <w:rPr/>
      </w:pPr>
      <w:bookmarkStart w:id="147" w:name="_Toc191031110"/>
      <w:bookmarkStart w:id="148" w:name="_Ref176949025"/>
      <w:r>
        <w:rPr/>
        <w:fldChar w:fldCharType="begin"/>
      </w:r>
      <w:r>
        <w:rPr/>
        <w:instrText xml:space="preserve"> SEQ Grafikoa \* ARABIC </w:instrText>
      </w:r>
      <w:r>
        <w:rPr/>
        <w:fldChar w:fldCharType="separate"/>
      </w:r>
      <w:r>
        <w:rPr/>
        <w:t>36</w:t>
      </w:r>
      <w:r>
        <w:rPr/>
        <w:fldChar w:fldCharType="end"/>
      </w:r>
      <w:r>
        <w:rPr/>
        <w:t>. Grafikoa</w:t>
      </w:r>
      <w:bookmarkEnd w:id="148"/>
      <w:r>
        <w:rPr/>
        <w:t>: Okupazio-tasaren bilakaera sexuaren arabera (%).</w:t>
        <w:br/>
        <w:t>Pasaia, 2010-2023</w:t>
      </w:r>
      <w:bookmarkEnd w:id="147"/>
    </w:p>
    <w:p>
      <w:pPr>
        <w:pStyle w:val="Normal"/>
        <w:jc w:val="right"/>
        <w:rPr>
          <w:color w:val="595959" w:themeColor="text1" w:themeTint="a6"/>
          <w:sz w:val="18"/>
          <w:szCs w:val="18"/>
        </w:rPr>
      </w:pPr>
      <w:r>
        <w:rPr/>
        <w:drawing>
          <wp:inline distT="0" distB="0" distL="0" distR="0">
            <wp:extent cx="5390515" cy="3200400"/>
            <wp:effectExtent l="0" t="0" r="0" b="0"/>
            <wp:docPr id="40" name="Imagen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28" descr=""/>
                    <pic:cNvPicPr>
                      <a:picLocks noChangeAspect="1" noChangeArrowheads="1"/>
                    </pic:cNvPicPr>
                  </pic:nvPicPr>
                  <pic:blipFill>
                    <a:blip r:embed="rId41"/>
                    <a:stretch>
                      <a:fillRect/>
                    </a:stretch>
                  </pic:blipFill>
                  <pic:spPr bwMode="auto">
                    <a:xfrm>
                      <a:off x="0" y="0"/>
                      <a:ext cx="5390515" cy="3200400"/>
                    </a:xfrm>
                    <a:prstGeom prst="rect">
                      <a:avLst/>
                    </a:prstGeom>
                  </pic:spPr>
                </pic:pic>
              </a:graphicData>
            </a:graphic>
          </wp:inline>
        </w:drawing>
      </w:r>
      <w:r>
        <w:rPr>
          <w:rStyle w:val="IturriaKar"/>
        </w:rPr>
        <w:t>Iturria: Eustat.</w:t>
      </w:r>
      <w:r>
        <w:br w:type="page"/>
      </w:r>
    </w:p>
    <w:p>
      <w:pPr>
        <w:pStyle w:val="Caption"/>
        <w:rPr/>
      </w:pPr>
      <w:bookmarkStart w:id="149" w:name="_Toc191031162"/>
      <w:bookmarkStart w:id="150" w:name="_Ref176949008"/>
      <w:r>
        <w:rPr/>
        <w:fldChar w:fldCharType="begin"/>
      </w:r>
      <w:r>
        <w:rPr/>
        <w:instrText xml:space="preserve"> SEQ Taula \* ARABIC </w:instrText>
      </w:r>
      <w:r>
        <w:rPr/>
        <w:fldChar w:fldCharType="separate"/>
      </w:r>
      <w:r>
        <w:rPr/>
        <w:t>19</w:t>
      </w:r>
      <w:r>
        <w:rPr/>
        <w:fldChar w:fldCharType="end"/>
      </w:r>
      <w:r>
        <w:rPr/>
        <w:t>. Taula</w:t>
      </w:r>
      <w:bookmarkEnd w:id="150"/>
      <w:r>
        <w:rPr/>
        <w:t>: Okupazio-tasaren bilakaera sexuaren arabera (%).</w:t>
        <w:br/>
        <w:t>Pasaia, 2010-2023</w:t>
      </w:r>
      <w:bookmarkEnd w:id="149"/>
    </w:p>
    <w:tbl>
      <w:tblPr>
        <w:tblW w:w="67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6"/>
        <w:gridCol w:w="933"/>
        <w:gridCol w:w="935"/>
        <w:gridCol w:w="935"/>
        <w:gridCol w:w="934"/>
        <w:gridCol w:w="934"/>
        <w:gridCol w:w="934"/>
      </w:tblGrid>
      <w:tr>
        <w:trPr>
          <w:trHeight w:val="300" w:hRule="atLeast"/>
        </w:trPr>
        <w:tc>
          <w:tcPr>
            <w:tcW w:w="116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2010</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2015</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43,2</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44,2</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44,1</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47,6</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47,1</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51,3</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54,7</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51,3</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51,6</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55,7</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54,9</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57,6</w:t>
            </w:r>
          </w:p>
        </w:tc>
      </w:tr>
      <w:tr>
        <w:trPr>
          <w:trHeight w:val="300" w:hRule="atLeast"/>
        </w:trPr>
        <w:tc>
          <w:tcPr>
            <w:tcW w:w="116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48,7</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47,6</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47,7</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51,5</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50,8</w:t>
            </w:r>
          </w:p>
        </w:tc>
        <w:tc>
          <w:tcPr>
            <w:tcW w:w="9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54,3</w:t>
            </w:r>
          </w:p>
        </w:tc>
      </w:tr>
    </w:tbl>
    <w:p>
      <w:pPr>
        <w:pStyle w:val="Iturria"/>
        <w:rPr>
          <w:rStyle w:val="IturriaKar"/>
        </w:rPr>
      </w:pPr>
      <w:r>
        <w:rPr>
          <w:rStyle w:val="IturriaKar"/>
        </w:rPr>
        <w:t xml:space="preserve"> </w:t>
      </w:r>
      <w:r>
        <w:rPr>
          <w:rStyle w:val="IturriaKar"/>
        </w:rPr>
        <w:t>Iturria: Eustat.</w:t>
      </w:r>
    </w:p>
    <w:p>
      <w:pPr>
        <w:pStyle w:val="Iturria"/>
        <w:jc w:val="both"/>
        <w:rPr>
          <w:color w:val="auto"/>
          <w:sz w:val="22"/>
          <w:szCs w:val="22"/>
        </w:rPr>
      </w:pPr>
      <w:r>
        <w:rPr>
          <w:color w:val="auto"/>
          <w:sz w:val="22"/>
          <w:szCs w:val="22"/>
        </w:rPr>
        <w:t xml:space="preserve">Langabezia-tasaren bilakaerak, izan Eustaten zein Lanbideren datuak, joera berdina adierazten dute. 2008ko krisi sozioekonomikoak Pasaiako langabezia-tasan eragina izan zuen: urte horretatik aurrera udalerriko langabetuen proportzioak gora egin zuen. Eustaten datuen arabera Pasaiako langabezia-tasa 2015ean iritsi zen azken bi hamarkadetako balio handienera (%17,2), aldiz, Lanbideren arabera hiruhileko batzuk lehenago iritsi zen puntu horretara. Hortik aurrera langabezia-tasak beherako joera hartu du eta azken datuen arabera %8,5ean kokatzen da (ikus </w:t>
      </w:r>
      <w:r>
        <w:rPr>
          <w:color w:val="auto"/>
          <w:sz w:val="22"/>
          <w:szCs w:val="22"/>
        </w:rPr>
        <w:fldChar w:fldCharType="begin"/>
      </w:r>
      <w:r>
        <w:rPr>
          <w:sz w:val="22"/>
          <w:szCs w:val="22"/>
          <w:color w:val="auto"/>
        </w:rPr>
        <w:instrText xml:space="preserve"> REF _Ref176949053 \h </w:instrText>
      </w:r>
      <w:r>
        <w:rPr>
          <w:sz w:val="22"/>
          <w:szCs w:val="22"/>
          <w:color w:val="auto"/>
        </w:rPr>
        <w:fldChar w:fldCharType="separate"/>
      </w:r>
      <w:r>
        <w:rPr>
          <w:sz w:val="22"/>
          <w:szCs w:val="22"/>
          <w:color w:val="auto"/>
        </w:rPr>
        <w:t>37.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_Ref176949059 \h </w:instrText>
      </w:r>
      <w:r>
        <w:rPr>
          <w:sz w:val="22"/>
          <w:szCs w:val="22"/>
          <w:color w:val="auto"/>
        </w:rPr>
        <w:fldChar w:fldCharType="separate"/>
      </w:r>
      <w:r>
        <w:rPr>
          <w:sz w:val="22"/>
          <w:szCs w:val="22"/>
          <w:color w:val="auto"/>
        </w:rPr>
        <w:t>38. Grafikoa</w:t>
      </w:r>
      <w:r>
        <w:rPr>
          <w:sz w:val="22"/>
          <w:szCs w:val="22"/>
          <w:color w:val="auto"/>
        </w:rPr>
        <w:fldChar w:fldCharType="end"/>
      </w:r>
      <w:r>
        <w:rPr>
          <w:color w:val="auto"/>
          <w:sz w:val="22"/>
          <w:szCs w:val="22"/>
        </w:rPr>
        <w:t xml:space="preserve">). </w:t>
      </w:r>
    </w:p>
    <w:p>
      <w:pPr>
        <w:pStyle w:val="Iturria"/>
        <w:jc w:val="both"/>
        <w:rPr>
          <w:color w:val="auto"/>
          <w:sz w:val="22"/>
          <w:szCs w:val="22"/>
        </w:rPr>
      </w:pPr>
      <w:r>
        <w:rPr>
          <w:color w:val="auto"/>
          <w:sz w:val="22"/>
          <w:szCs w:val="22"/>
        </w:rPr>
        <w:t xml:space="preserve">Nolanahi ere, azpimarratu behar da krisi ekonomikoaren testuinguruan Pasaia, ziklo ekonomikoaren eragina nabarmen nozitzen duen udalerria dela, bai enplegua sortzerakoan, bai enplegua galtzerakoan. Izan ere, Pasaiako langabezia-tasa erreferentziazko eremuen artean handienekoa izan ohi da eta atzeraldi ekonomikoa hasten denean lehena da nozitzen. 2008an hasitako atzeraldiko datuek horixe adierazten dute. Atzeraldi ekonomiko betean (2012) beste guztien gainetik dezente nabarmendu zen eta horrela jarraitu zuen hainbat urtez. Joera hori berriro errepikatu zen 2020ko osasun krisiak eragindako ondorio sozioekonomikoengatik. Egun, oraindik ez du berreskuratu mende hasierako enplegu tasa (ikus </w:t>
      </w:r>
      <w:r>
        <w:rPr>
          <w:color w:val="auto"/>
          <w:sz w:val="22"/>
          <w:szCs w:val="22"/>
        </w:rPr>
        <w:fldChar w:fldCharType="begin"/>
      </w:r>
      <w:r>
        <w:rPr>
          <w:sz w:val="22"/>
          <w:szCs w:val="22"/>
          <w:color w:val="auto"/>
        </w:rPr>
        <w:instrText xml:space="preserve"> REF _Ref176949053 \h </w:instrText>
      </w:r>
      <w:r>
        <w:rPr>
          <w:sz w:val="22"/>
          <w:szCs w:val="22"/>
          <w:color w:val="auto"/>
        </w:rPr>
        <w:fldChar w:fldCharType="separate"/>
      </w:r>
      <w:r>
        <w:rPr>
          <w:sz w:val="22"/>
          <w:szCs w:val="22"/>
          <w:color w:val="auto"/>
        </w:rPr>
        <w:t>37.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_Ref176949059 \h </w:instrText>
      </w:r>
      <w:r>
        <w:rPr>
          <w:sz w:val="22"/>
          <w:szCs w:val="22"/>
          <w:color w:val="auto"/>
        </w:rPr>
        <w:fldChar w:fldCharType="separate"/>
      </w:r>
      <w:r>
        <w:rPr>
          <w:sz w:val="22"/>
          <w:szCs w:val="22"/>
          <w:color w:val="auto"/>
        </w:rPr>
        <w:t>38. Grafikoa</w:t>
      </w:r>
      <w:r>
        <w:rPr>
          <w:sz w:val="22"/>
          <w:szCs w:val="22"/>
          <w:color w:val="auto"/>
        </w:rPr>
        <w:fldChar w:fldCharType="end"/>
      </w:r>
      <w:r>
        <w:rPr>
          <w:color w:val="auto"/>
          <w:sz w:val="22"/>
          <w:szCs w:val="22"/>
        </w:rPr>
        <w:t xml:space="preserve">). </w:t>
      </w:r>
    </w:p>
    <w:p>
      <w:pPr>
        <w:pStyle w:val="Iturria"/>
        <w:jc w:val="both"/>
        <w:rPr/>
      </w:pPr>
      <w:r>
        <w:rPr>
          <w:color w:val="auto"/>
          <w:sz w:val="22"/>
          <w:szCs w:val="22"/>
        </w:rPr>
        <w:t xml:space="preserve">Eustaten azken datuen arabera (2023) emakumeen langabezia tasa (%9,4) gizonena (%7,7) baino 2,2 puntu altuagoa da. Dena den, merezi du datu horien bilakaeran arreta jartzeak, izan ere, krisi ekonomikoak gehien eragin zuen urteetan emakumeen langabezia-tasa gizonen langabeziaren azpitik ibili zen. Errekuperazio ekonomikoaren inguruan, ordea, egoerak parekatzera jo zuen, beti ere emakumeen langabezia-tasa gizonena baino apalagoa izatera etorrita. Bilakaera honen arrazoi nagusiak bi aldagairen uztarketan daude: 1) jarduera industrialak Pasaiako egitura ekonomikoan duen eragina eta 2) Donostialdeko lan merkatuan dagoen generoaren araberako segregazioa (ikus </w:t>
      </w:r>
      <w:r>
        <w:rPr>
          <w:color w:val="auto"/>
          <w:sz w:val="22"/>
          <w:szCs w:val="22"/>
        </w:rPr>
        <w:fldChar w:fldCharType="begin"/>
      </w:r>
      <w:r>
        <w:rPr>
          <w:sz w:val="22"/>
          <w:szCs w:val="22"/>
          <w:color w:val="auto"/>
        </w:rPr>
        <w:instrText xml:space="preserve"> REF _Ref176949093 \h </w:instrText>
      </w:r>
      <w:r>
        <w:rPr>
          <w:sz w:val="22"/>
          <w:szCs w:val="22"/>
          <w:color w:val="auto"/>
        </w:rPr>
        <w:fldChar w:fldCharType="separate"/>
      </w:r>
      <w:r>
        <w:rPr>
          <w:sz w:val="22"/>
          <w:szCs w:val="22"/>
          <w:color w:val="auto"/>
        </w:rPr>
        <w:t>39.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_Ref176949104 \h </w:instrText>
      </w:r>
      <w:r>
        <w:rPr>
          <w:sz w:val="22"/>
          <w:szCs w:val="22"/>
          <w:color w:val="auto"/>
        </w:rPr>
        <w:fldChar w:fldCharType="separate"/>
      </w:r>
      <w:r>
        <w:rPr>
          <w:sz w:val="22"/>
          <w:szCs w:val="22"/>
          <w:color w:val="auto"/>
        </w:rPr>
        <w:t>20. Taula</w:t>
      </w:r>
      <w:r>
        <w:rPr>
          <w:sz w:val="22"/>
          <w:szCs w:val="22"/>
          <w:color w:val="auto"/>
        </w:rPr>
        <w:fldChar w:fldCharType="end"/>
      </w:r>
      <w:r>
        <w:rPr>
          <w:color w:val="auto"/>
          <w:sz w:val="22"/>
          <w:szCs w:val="22"/>
        </w:rPr>
        <w:t>).</w:t>
      </w:r>
      <w:r>
        <w:br w:type="page"/>
      </w:r>
    </w:p>
    <w:p>
      <w:pPr>
        <w:pStyle w:val="Caption"/>
        <w:rPr/>
      </w:pPr>
      <w:bookmarkStart w:id="151" w:name="_Toc191031111"/>
      <w:bookmarkStart w:id="152" w:name="_Ref176949053"/>
      <w:r>
        <w:rPr/>
        <w:fldChar w:fldCharType="begin"/>
      </w:r>
      <w:r>
        <w:rPr/>
        <w:instrText xml:space="preserve"> SEQ Grafikoa \* ARABIC </w:instrText>
      </w:r>
      <w:r>
        <w:rPr/>
        <w:fldChar w:fldCharType="separate"/>
      </w:r>
      <w:r>
        <w:rPr/>
        <w:t>37</w:t>
      </w:r>
      <w:r>
        <w:rPr/>
        <w:fldChar w:fldCharType="end"/>
      </w:r>
      <w:r>
        <w:rPr/>
        <w:t>. Grafikoa</w:t>
      </w:r>
      <w:bookmarkEnd w:id="152"/>
      <w:r>
        <w:rPr/>
        <w:t>: Langabezia-tasaren bilakaera (%).</w:t>
        <w:br/>
        <w:t>Pasaia eta bere testuingurua, 2000-2024</w:t>
      </w:r>
      <w:bookmarkEnd w:id="151"/>
    </w:p>
    <w:p>
      <w:pPr>
        <w:pStyle w:val="Iturria"/>
        <w:rPr>
          <w:rStyle w:val="IturriaKar"/>
        </w:rPr>
      </w:pPr>
      <w:r>
        <w:rPr/>
        <w:drawing>
          <wp:inline distT="0" distB="0" distL="0" distR="0">
            <wp:extent cx="5390515" cy="3200400"/>
            <wp:effectExtent l="0" t="0" r="0" b="0"/>
            <wp:docPr id="41" name="Imagen29" descr="Hau duen irudia testua, Lurrazala, lerroa, pantaila-argazki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29" descr="Hau duen irudia testua, Lurrazala, lerroa, pantaila-argazkia&#10;&#10;Azalpena automatikoki sortu da"/>
                    <pic:cNvPicPr>
                      <a:picLocks noChangeAspect="1" noChangeArrowheads="1"/>
                    </pic:cNvPicPr>
                  </pic:nvPicPr>
                  <pic:blipFill>
                    <a:blip r:embed="rId42"/>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Lanbide.</w:t>
      </w:r>
    </w:p>
    <w:p>
      <w:pPr>
        <w:pStyle w:val="Iturria"/>
        <w:rPr>
          <w:rStyle w:val="IturriaKar"/>
        </w:rPr>
      </w:pPr>
      <w:r>
        <w:rPr/>
      </w:r>
    </w:p>
    <w:p>
      <w:pPr>
        <w:pStyle w:val="Caption"/>
        <w:rPr/>
      </w:pPr>
      <w:bookmarkStart w:id="153" w:name="_Toc191031112"/>
      <w:bookmarkStart w:id="154" w:name="_Ref176949059"/>
      <w:r>
        <w:rPr/>
        <w:fldChar w:fldCharType="begin"/>
      </w:r>
      <w:r>
        <w:rPr/>
        <w:instrText xml:space="preserve"> SEQ Grafikoa \* ARABIC </w:instrText>
      </w:r>
      <w:r>
        <w:rPr/>
        <w:fldChar w:fldCharType="separate"/>
      </w:r>
      <w:r>
        <w:rPr/>
        <w:t>38</w:t>
      </w:r>
      <w:r>
        <w:rPr/>
        <w:fldChar w:fldCharType="end"/>
      </w:r>
      <w:r>
        <w:rPr/>
        <w:t>. Grafikoa</w:t>
      </w:r>
      <w:bookmarkEnd w:id="154"/>
      <w:r>
        <w:rPr/>
        <w:t>: Langabezia-tasaren bilakaera (%).</w:t>
        <w:br/>
        <w:t>Pasaia eta bere testuingurua, 2010-2023</w:t>
      </w:r>
      <w:bookmarkEnd w:id="153"/>
    </w:p>
    <w:p>
      <w:pPr>
        <w:pStyle w:val="Iturria"/>
        <w:rPr>
          <w:rStyle w:val="IturriaKar"/>
        </w:rPr>
      </w:pPr>
      <w:r>
        <w:rPr/>
        <w:drawing>
          <wp:inline distT="0" distB="0" distL="0" distR="0">
            <wp:extent cx="5390515" cy="3200400"/>
            <wp:effectExtent l="0" t="0" r="0" b="0"/>
            <wp:docPr id="42" name="Imagen30" descr="Hau duen irudia Lurrazala, diagrama, lerroa, aldap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30" descr="Hau duen irudia Lurrazala, diagrama, lerroa, aldapa&#10;&#10;Azalpena automatikoki sortu da"/>
                    <pic:cNvPicPr>
                      <a:picLocks noChangeAspect="1" noChangeArrowheads="1"/>
                    </pic:cNvPicPr>
                  </pic:nvPicPr>
                  <pic:blipFill>
                    <a:blip r:embed="rId43"/>
                    <a:stretch>
                      <a:fillRect/>
                    </a:stretch>
                  </pic:blipFill>
                  <pic:spPr bwMode="auto">
                    <a:xfrm>
                      <a:off x="0" y="0"/>
                      <a:ext cx="5390515" cy="3200400"/>
                    </a:xfrm>
                    <a:prstGeom prst="rect">
                      <a:avLst/>
                    </a:prstGeom>
                  </pic:spPr>
                </pic:pic>
              </a:graphicData>
            </a:graphic>
          </wp:inline>
        </w:drawing>
      </w:r>
      <w:r>
        <w:rPr>
          <w:rStyle w:val="IturriaKar"/>
        </w:rPr>
        <w:t>Iturria: Eustat.</w:t>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155" w:name="_Toc191031113"/>
      <w:bookmarkStart w:id="156" w:name="_Ref176949093"/>
      <w:r>
        <w:rPr/>
        <w:fldChar w:fldCharType="begin"/>
      </w:r>
      <w:r>
        <w:rPr/>
        <w:instrText xml:space="preserve"> SEQ Grafikoa \* ARABIC </w:instrText>
      </w:r>
      <w:r>
        <w:rPr/>
        <w:fldChar w:fldCharType="separate"/>
      </w:r>
      <w:r>
        <w:rPr/>
        <w:t>39</w:t>
      </w:r>
      <w:r>
        <w:rPr/>
        <w:fldChar w:fldCharType="end"/>
      </w:r>
      <w:r>
        <w:rPr/>
        <w:t>. Grafikoa</w:t>
      </w:r>
      <w:bookmarkEnd w:id="156"/>
      <w:r>
        <w:rPr/>
        <w:t>: Langabezia-tasaren bilakaera sexuaren arabera (%).</w:t>
        <w:br/>
        <w:t>Pasaia, 2010-2023</w:t>
      </w:r>
      <w:bookmarkEnd w:id="155"/>
    </w:p>
    <w:p>
      <w:pPr>
        <w:pStyle w:val="Iturria"/>
        <w:rPr>
          <w:rStyle w:val="IturriaKar"/>
        </w:rPr>
      </w:pPr>
      <w:r>
        <w:rPr/>
        <w:drawing>
          <wp:inline distT="0" distB="0" distL="0" distR="0">
            <wp:extent cx="5390515" cy="3200400"/>
            <wp:effectExtent l="0" t="0" r="0" b="0"/>
            <wp:docPr id="43" name="Imagen31" descr="Hau duen irudia Lurrazala, diagrama, lerroa, aldap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31" descr="Hau duen irudia Lurrazala, diagrama, lerroa, aldapa&#10;&#10;Azalpena automatikoki sortu da"/>
                    <pic:cNvPicPr>
                      <a:picLocks noChangeAspect="1" noChangeArrowheads="1"/>
                    </pic:cNvPicPr>
                  </pic:nvPicPr>
                  <pic:blipFill>
                    <a:blip r:embed="rId44"/>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Iturria"/>
        <w:rPr>
          <w:rStyle w:val="IturriaKar"/>
        </w:rPr>
      </w:pPr>
      <w:r>
        <w:rPr/>
      </w:r>
    </w:p>
    <w:p>
      <w:pPr>
        <w:pStyle w:val="Caption"/>
        <w:rPr/>
      </w:pPr>
      <w:bookmarkStart w:id="157" w:name="_Toc191031163"/>
      <w:bookmarkStart w:id="158" w:name="_Ref176949104"/>
      <w:r>
        <w:rPr/>
        <w:fldChar w:fldCharType="begin"/>
      </w:r>
      <w:r>
        <w:rPr/>
        <w:instrText xml:space="preserve"> SEQ Taula \* ARABIC </w:instrText>
      </w:r>
      <w:r>
        <w:rPr/>
        <w:fldChar w:fldCharType="separate"/>
      </w:r>
      <w:r>
        <w:rPr/>
        <w:t>20</w:t>
      </w:r>
      <w:r>
        <w:rPr/>
        <w:fldChar w:fldCharType="end"/>
      </w:r>
      <w:r>
        <w:rPr/>
        <w:t>. Taula</w:t>
      </w:r>
      <w:bookmarkEnd w:id="158"/>
      <w:r>
        <w:rPr/>
        <w:t>: Langabezia-tasaren bilakaera sexuaren arabera (%).</w:t>
        <w:br/>
        <w:t>Pasaia, 2010-2023</w:t>
      </w:r>
      <w:bookmarkEnd w:id="157"/>
    </w:p>
    <w:tbl>
      <w:tblPr>
        <w:tblW w:w="67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6"/>
        <w:gridCol w:w="933"/>
        <w:gridCol w:w="935"/>
        <w:gridCol w:w="935"/>
        <w:gridCol w:w="934"/>
        <w:gridCol w:w="934"/>
        <w:gridCol w:w="934"/>
      </w:tblGrid>
      <w:tr>
        <w:trPr>
          <w:trHeight w:val="300" w:hRule="atLeast"/>
        </w:trPr>
        <w:tc>
          <w:tcPr>
            <w:tcW w:w="116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2010</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2015</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15,4</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15,7</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11,7</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12,3</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11,9</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18,9</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15,7</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10,9</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11,3</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w:t>
            </w:r>
          </w:p>
        </w:tc>
      </w:tr>
      <w:tr>
        <w:trPr>
          <w:trHeight w:val="300" w:hRule="atLeast"/>
        </w:trPr>
        <w:tc>
          <w:tcPr>
            <w:tcW w:w="116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10,6</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17,2</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15,7</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11,3</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11,8</w:t>
            </w:r>
          </w:p>
        </w:tc>
        <w:tc>
          <w:tcPr>
            <w:tcW w:w="9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8,5</w:t>
            </w:r>
          </w:p>
        </w:tc>
      </w:tr>
    </w:tbl>
    <w:p>
      <w:pPr>
        <w:pStyle w:val="Iturria"/>
        <w:rPr>
          <w:rStyle w:val="IturriaKar"/>
        </w:rPr>
      </w:pPr>
      <w:r>
        <w:rPr>
          <w:rStyle w:val="IturriaKar"/>
        </w:rPr>
        <w:t xml:space="preserve"> </w:t>
      </w:r>
      <w:r>
        <w:rPr>
          <w:rStyle w:val="IturriaKar"/>
        </w:rPr>
        <w:t>Iturria: Eustat.</w:t>
      </w:r>
    </w:p>
    <w:p>
      <w:pPr>
        <w:pStyle w:val="Iturria"/>
        <w:jc w:val="both"/>
        <w:rPr>
          <w:color w:val="auto"/>
          <w:sz w:val="22"/>
          <w:szCs w:val="22"/>
        </w:rPr>
      </w:pPr>
      <w:r>
        <w:rPr>
          <w:color w:val="auto"/>
          <w:sz w:val="22"/>
          <w:szCs w:val="22"/>
        </w:rPr>
        <w:t xml:space="preserve">Familia-errenta erabilgarriari dagokionez, Pasaiako familien errenta-mailak behera egin zuen 2008an lehertutako krisi ekonomikoaren ondoko urteetan. Azken urteetan, ordea, testuinguru positiboa izan da eta errenta-mailak gora egin du. 2022eko datuen arabera Pasaiako familia-errenta eskuragarriaren batez bestekoa 34.856€ da. 2013tik aurrera familia errenta mailak udalerrian hazkundea izan badu ere, Pasaiako familien erosahalmena Donostialdearen (45.319€), Gipuzkoaren (44.668€) eta EAEren (41.897€) oso azpitik dabil. Pasaiako familiek beraien eskualdeko familiek baino erosketa ahalmen askoz ere txikiagoa dute (ikus </w:t>
      </w:r>
      <w:r>
        <w:rPr>
          <w:color w:val="auto"/>
          <w:sz w:val="22"/>
          <w:szCs w:val="22"/>
        </w:rPr>
        <w:fldChar w:fldCharType="begin"/>
      </w:r>
      <w:r>
        <w:rPr>
          <w:sz w:val="22"/>
          <w:szCs w:val="22"/>
          <w:color w:val="auto"/>
        </w:rPr>
        <w:instrText xml:space="preserve"> REF _Ref176949131 \h </w:instrText>
      </w:r>
      <w:r>
        <w:rPr>
          <w:sz w:val="22"/>
          <w:szCs w:val="22"/>
          <w:color w:val="auto"/>
        </w:rPr>
        <w:fldChar w:fldCharType="separate"/>
      </w:r>
      <w:r>
        <w:rPr>
          <w:sz w:val="22"/>
          <w:szCs w:val="22"/>
          <w:color w:val="auto"/>
        </w:rPr>
        <w:t>40. Grafikoa</w:t>
      </w:r>
      <w:r>
        <w:rPr>
          <w:sz w:val="22"/>
          <w:szCs w:val="22"/>
          <w:color w:val="auto"/>
        </w:rPr>
        <w:fldChar w:fldCharType="end"/>
      </w:r>
      <w:r>
        <w:rPr>
          <w:color w:val="auto"/>
          <w:sz w:val="22"/>
          <w:szCs w:val="22"/>
        </w:rPr>
        <w:t xml:space="preserve">). </w:t>
      </w:r>
    </w:p>
    <w:p>
      <w:pPr>
        <w:pStyle w:val="Iturria"/>
        <w:jc w:val="both"/>
        <w:rPr>
          <w:color w:val="auto"/>
          <w:sz w:val="22"/>
          <w:szCs w:val="22"/>
        </w:rPr>
      </w:pPr>
      <w:r>
        <w:rPr>
          <w:color w:val="auto"/>
          <w:sz w:val="22"/>
          <w:szCs w:val="22"/>
        </w:rPr>
        <w:t xml:space="preserve">2001-2024 aldian familiako hartzaileen artean generoaren arabera dagoen diferentzia handitu egin da. Pasaian familia-errentaren hartzaile nagusia emakumea denean batez besteko familia-errenta erabilgarria 29.976€ da, gizona denean 38.605€ (8.629€ko aldea, %22,4 txikiagoa) (ikus </w:t>
      </w:r>
      <w:r>
        <w:rPr>
          <w:color w:val="auto"/>
          <w:sz w:val="22"/>
          <w:szCs w:val="22"/>
        </w:rPr>
        <w:fldChar w:fldCharType="begin"/>
      </w:r>
      <w:r>
        <w:rPr>
          <w:sz w:val="22"/>
          <w:szCs w:val="22"/>
          <w:color w:val="auto"/>
        </w:rPr>
        <w:instrText xml:space="preserve"> REF _Ref182932904 \h </w:instrText>
      </w:r>
      <w:r>
        <w:rPr>
          <w:sz w:val="22"/>
          <w:szCs w:val="22"/>
          <w:color w:val="auto"/>
        </w:rPr>
        <w:fldChar w:fldCharType="separate"/>
      </w:r>
      <w:r>
        <w:rPr>
          <w:sz w:val="22"/>
          <w:szCs w:val="22"/>
          <w:color w:val="auto"/>
        </w:rPr>
        <w:t>41.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_Ref176949162 \h </w:instrText>
      </w:r>
      <w:r>
        <w:rPr>
          <w:sz w:val="22"/>
          <w:szCs w:val="22"/>
          <w:color w:val="auto"/>
        </w:rPr>
        <w:fldChar w:fldCharType="separate"/>
      </w:r>
      <w:r>
        <w:rPr>
          <w:sz w:val="22"/>
          <w:szCs w:val="22"/>
          <w:color w:val="auto"/>
        </w:rPr>
        <w:t>21. Taula</w:t>
      </w:r>
      <w:r>
        <w:rPr>
          <w:sz w:val="22"/>
          <w:szCs w:val="22"/>
          <w:color w:val="auto"/>
        </w:rPr>
        <w:fldChar w:fldCharType="end"/>
      </w:r>
      <w:r>
        <w:rPr>
          <w:color w:val="auto"/>
          <w:sz w:val="22"/>
          <w:szCs w:val="22"/>
        </w:rPr>
        <w:t xml:space="preserve">). </w:t>
      </w:r>
    </w:p>
    <w:p>
      <w:pPr>
        <w:pStyle w:val="Normal"/>
        <w:rPr/>
      </w:pPr>
      <w:r>
        <w:rPr/>
      </w:r>
      <w:r>
        <w:br w:type="page"/>
      </w:r>
    </w:p>
    <w:p>
      <w:pPr>
        <w:pStyle w:val="Caption"/>
        <w:rPr/>
      </w:pPr>
      <w:bookmarkStart w:id="159" w:name="_Toc191031114"/>
      <w:bookmarkStart w:id="160" w:name="_Ref176949131"/>
      <w:r>
        <w:rPr/>
        <w:fldChar w:fldCharType="begin"/>
      </w:r>
      <w:r>
        <w:rPr/>
        <w:instrText xml:space="preserve"> SEQ Grafikoa \* ARABIC </w:instrText>
      </w:r>
      <w:r>
        <w:rPr/>
        <w:fldChar w:fldCharType="separate"/>
      </w:r>
      <w:r>
        <w:rPr/>
        <w:t>40</w:t>
      </w:r>
      <w:r>
        <w:rPr/>
        <w:fldChar w:fldCharType="end"/>
      </w:r>
      <w:r>
        <w:rPr/>
        <w:t>. Grafikoa</w:t>
      </w:r>
      <w:bookmarkEnd w:id="160"/>
      <w:r>
        <w:rPr/>
        <w:t>: Familia-errenta erabilgarriaren bilakaera (€).</w:t>
        <w:br/>
        <w:t>Pasaia eta bere testuingurua, 2001-2022</w:t>
      </w:r>
      <w:bookmarkEnd w:id="159"/>
    </w:p>
    <w:p>
      <w:pPr>
        <w:pStyle w:val="Iturria"/>
        <w:rPr/>
      </w:pPr>
      <w:r>
        <w:rPr/>
        <w:drawing>
          <wp:inline distT="0" distB="0" distL="0" distR="0">
            <wp:extent cx="5390515" cy="3200400"/>
            <wp:effectExtent l="0" t="0" r="0" b="0"/>
            <wp:docPr id="44" name="Imagen32" descr="Hau duen irudia testua, Lurrazala, diagrama, pantaila-argazki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32" descr="Hau duen irudia testua, Lurrazala, diagrama, pantaila-argazkia&#10;&#10;Azalpena automatikoki sortu da"/>
                    <pic:cNvPicPr>
                      <a:picLocks noChangeAspect="1" noChangeArrowheads="1"/>
                    </pic:cNvPicPr>
                  </pic:nvPicPr>
                  <pic:blipFill>
                    <a:blip r:embed="rId45"/>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bookmarkStart w:id="161" w:name="_Ref176949145"/>
    </w:p>
    <w:p>
      <w:pPr>
        <w:pStyle w:val="Caption"/>
        <w:rPr/>
      </w:pPr>
      <w:r>
        <w:rPr/>
      </w:r>
    </w:p>
    <w:p>
      <w:pPr>
        <w:pStyle w:val="Normal"/>
        <w:rPr/>
      </w:pPr>
      <w:r>
        <w:rPr/>
      </w:r>
      <w:r>
        <w:br w:type="page"/>
      </w:r>
    </w:p>
    <w:p>
      <w:pPr>
        <w:pStyle w:val="Caption"/>
        <w:rPr/>
      </w:pPr>
      <w:bookmarkStart w:id="162" w:name="_Toc191031115"/>
      <w:bookmarkStart w:id="163" w:name="_Ref182932904"/>
      <w:r>
        <w:rPr/>
        <w:fldChar w:fldCharType="begin"/>
      </w:r>
      <w:r>
        <w:rPr/>
        <w:instrText xml:space="preserve"> SEQ Grafikoa \* ARABIC </w:instrText>
      </w:r>
      <w:r>
        <w:rPr/>
        <w:fldChar w:fldCharType="separate"/>
      </w:r>
      <w:r>
        <w:rPr/>
        <w:t>41</w:t>
      </w:r>
      <w:r>
        <w:rPr/>
        <w:fldChar w:fldCharType="end"/>
      </w:r>
      <w:r>
        <w:rPr/>
        <w:t>. Grafikoa</w:t>
      </w:r>
      <w:bookmarkEnd w:id="163"/>
      <w:r>
        <w:rPr/>
        <w:t xml:space="preserve">: </w:t>
      </w:r>
      <w:bookmarkEnd w:id="161"/>
      <w:r>
        <w:rPr/>
        <w:t>Familia-errenta erabilgarriaren bilakaera hartzaile nagusiaren sexuaren arabera (€).</w:t>
        <w:br/>
        <w:t>Pasaia, 2001-2022</w:t>
      </w:r>
      <w:bookmarkEnd w:id="162"/>
    </w:p>
    <w:p>
      <w:pPr>
        <w:pStyle w:val="Iturria"/>
        <w:rPr>
          <w:rStyle w:val="IturriaKar"/>
        </w:rPr>
      </w:pPr>
      <w:r>
        <w:rPr/>
        <w:drawing>
          <wp:inline distT="0" distB="0" distL="0" distR="0">
            <wp:extent cx="5390515" cy="3200400"/>
            <wp:effectExtent l="0" t="0" r="0" b="0"/>
            <wp:docPr id="45" name="Irudia 11" descr="Hau duen irudia testua, Lurrazala, diagram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rudia 11" descr="Hau duen irudia testua, Lurrazala, diagrama, lerroa&#10;&#10;Azalpena automatikoki sortu da"/>
                    <pic:cNvPicPr>
                      <a:picLocks noChangeAspect="1" noChangeArrowheads="1"/>
                    </pic:cNvPicPr>
                  </pic:nvPicPr>
                  <pic:blipFill>
                    <a:blip r:embed="rId46"/>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Iturria"/>
        <w:rPr/>
      </w:pPr>
      <w:r>
        <w:rPr/>
      </w:r>
    </w:p>
    <w:p>
      <w:pPr>
        <w:pStyle w:val="Caption"/>
        <w:rPr/>
      </w:pPr>
      <w:bookmarkStart w:id="164" w:name="_Toc191031164"/>
      <w:bookmarkStart w:id="165" w:name="_Ref176949162"/>
      <w:r>
        <w:rPr/>
        <w:fldChar w:fldCharType="begin"/>
      </w:r>
      <w:r>
        <w:rPr/>
        <w:instrText xml:space="preserve"> SEQ Taula \* ARABIC </w:instrText>
      </w:r>
      <w:r>
        <w:rPr/>
        <w:fldChar w:fldCharType="separate"/>
      </w:r>
      <w:r>
        <w:rPr/>
        <w:t>21</w:t>
      </w:r>
      <w:r>
        <w:rPr/>
        <w:fldChar w:fldCharType="end"/>
      </w:r>
      <w:r>
        <w:rPr/>
        <w:t>. Taula</w:t>
      </w:r>
      <w:bookmarkEnd w:id="165"/>
      <w:r>
        <w:rPr/>
        <w:t>: Familia-errenta erabilgarriaren bilakaera hartzaile nagusiaren sexuaren arabera (€).</w:t>
        <w:br/>
        <w:t>Pasaia, 2001-2022</w:t>
      </w:r>
      <w:bookmarkEnd w:id="164"/>
    </w:p>
    <w:tbl>
      <w:tblPr>
        <w:tblW w:w="67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6"/>
        <w:gridCol w:w="933"/>
        <w:gridCol w:w="935"/>
        <w:gridCol w:w="935"/>
        <w:gridCol w:w="934"/>
        <w:gridCol w:w="934"/>
        <w:gridCol w:w="934"/>
      </w:tblGrid>
      <w:tr>
        <w:trPr>
          <w:trHeight w:val="300" w:hRule="atLeast"/>
        </w:trPr>
        <w:tc>
          <w:tcPr>
            <w:tcW w:w="116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2001</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2006</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2014</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15.050</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20.667</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23.441</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22.685</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25.043</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29.976</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22.230</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28.524</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32.825</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30.260</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33.473</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38.605</w:t>
            </w:r>
          </w:p>
        </w:tc>
      </w:tr>
      <w:tr>
        <w:trPr>
          <w:trHeight w:val="300" w:hRule="atLeast"/>
        </w:trPr>
        <w:tc>
          <w:tcPr>
            <w:tcW w:w="116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19.845</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25.749</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29.193</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27.121</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29.935</w:t>
            </w:r>
          </w:p>
        </w:tc>
        <w:tc>
          <w:tcPr>
            <w:tcW w:w="9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34.856</w:t>
            </w:r>
          </w:p>
        </w:tc>
      </w:tr>
    </w:tbl>
    <w:p>
      <w:pPr>
        <w:pStyle w:val="Iturria"/>
        <w:rPr>
          <w:rStyle w:val="IturriaKar"/>
        </w:rPr>
      </w:pPr>
      <w:r>
        <w:rPr>
          <w:rStyle w:val="IturriaKar"/>
        </w:rPr>
        <w:t xml:space="preserve"> </w:t>
      </w:r>
      <w:r>
        <w:rPr>
          <w:rStyle w:val="IturriaKar"/>
        </w:rPr>
        <w:t>Iturria: Eustat.</w:t>
      </w:r>
    </w:p>
    <w:p>
      <w:pPr>
        <w:pStyle w:val="Normal"/>
        <w:jc w:val="both"/>
        <w:rPr>
          <w:rStyle w:val="IturriaKar"/>
        </w:rPr>
      </w:pPr>
      <w:r>
        <w:rPr/>
        <w:t xml:space="preserve">Bidenabar, merezi du barrutien arabera familia-errenta erabilgarriaren datuak aztertzeak datuak 2021ekoak badira ere. Donibane (34.241€) da diferentzia handiz familia-errenta erabilgarri handiena duen eremua. San Pedro (33.756€) eta Antxo (32.505) ere udalerriko batez bestekoaren gainetik daude (32.440€), baina diferentzia ez da handia. Trintxerpeko familia-errenta (30.979€), berriz, udalerrikoa batez bestekoa baino ia 1.500€ txikiagoa da. Auzoen arteko familia-errenta erabilgarriaren diferentziak etxebizitza eskuratzeko gaitasunean eta honen nolakotasunean eragiten du ezinbestean (ikus </w:t>
      </w:r>
      <w:r>
        <w:rPr/>
        <w:fldChar w:fldCharType="begin"/>
      </w:r>
      <w:r>
        <w:rPr/>
        <w:instrText xml:space="preserve"> REF _Ref190761389 \h </w:instrText>
      </w:r>
      <w:r>
        <w:rPr/>
        <w:fldChar w:fldCharType="separate"/>
      </w:r>
      <w:r>
        <w:rPr/>
        <w:t>42. Grafikoa</w:t>
      </w:r>
      <w:r>
        <w:rPr/>
        <w:fldChar w:fldCharType="end"/>
      </w:r>
      <w:r>
        <w:rPr/>
        <w:t>).</w:t>
      </w:r>
    </w:p>
    <w:p>
      <w:pPr>
        <w:pStyle w:val="Iturria"/>
        <w:rPr>
          <w:rStyle w:val="IturriaKar"/>
        </w:rPr>
      </w:pPr>
      <w:r>
        <w:rPr/>
      </w:r>
    </w:p>
    <w:p>
      <w:pPr>
        <w:pStyle w:val="Caption"/>
        <w:rPr/>
      </w:pPr>
      <w:bookmarkStart w:id="166" w:name="_Toc191031116"/>
      <w:bookmarkStart w:id="167" w:name="_Ref190761389"/>
      <w:r>
        <w:rPr/>
        <w:fldChar w:fldCharType="begin"/>
      </w:r>
      <w:r>
        <w:rPr/>
        <w:instrText xml:space="preserve"> SEQ Grafikoa \* ARABIC </w:instrText>
      </w:r>
      <w:r>
        <w:rPr/>
        <w:fldChar w:fldCharType="separate"/>
      </w:r>
      <w:r>
        <w:rPr/>
        <w:t>42</w:t>
      </w:r>
      <w:r>
        <w:rPr/>
        <w:fldChar w:fldCharType="end"/>
      </w:r>
      <w:r>
        <w:rPr/>
        <w:t>. Grafikoa</w:t>
      </w:r>
      <w:bookmarkEnd w:id="167"/>
      <w:r>
        <w:rPr/>
        <w:t>: Familia-errenta erabilgarriaren bilakaera barrutiaren arabera (€).</w:t>
        <w:br/>
        <w:t>Pasaia, 2021</w:t>
      </w:r>
      <w:bookmarkEnd w:id="166"/>
    </w:p>
    <w:p>
      <w:pPr>
        <w:pStyle w:val="Normal"/>
        <w:jc w:val="right"/>
        <w:rPr>
          <w:rStyle w:val="IturriaKar"/>
        </w:rPr>
      </w:pPr>
      <w:r>
        <w:rPr/>
        <w:drawing>
          <wp:inline distT="0" distB="0" distL="0" distR="0">
            <wp:extent cx="5390515" cy="3200400"/>
            <wp:effectExtent l="0" t="0" r="0" b="0"/>
            <wp:docPr id="46" name="Imagen33" descr="Hau duen irudia testua, pantaila-argazkia, Bataiarri, zenbaki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33" descr="Hau duen irudia testua, pantaila-argazkia, Bataiarri, zenbakia&#10;&#10;Azalpena automatikoki sortu da"/>
                    <pic:cNvPicPr>
                      <a:picLocks noChangeAspect="1" noChangeArrowheads="1"/>
                    </pic:cNvPicPr>
                  </pic:nvPicPr>
                  <pic:blipFill>
                    <a:blip r:embed="rId47"/>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Iturria"/>
        <w:jc w:val="both"/>
        <w:rPr>
          <w:color w:val="auto"/>
          <w:sz w:val="22"/>
          <w:szCs w:val="22"/>
        </w:rPr>
      </w:pPr>
      <w:r>
        <w:rPr>
          <w:color w:val="auto"/>
          <w:sz w:val="22"/>
          <w:szCs w:val="22"/>
        </w:rPr>
        <w:t xml:space="preserve">Errenta pertsonal erabilgarriaren batez bestekoak familia-errenta erabilgarriaren joera bera adierazten du. Pasaiako errenta pertsonalaren batez bestekoa (17.443€), Donostialdean (22.551€), Gipuzkoan (22.187€) eta EAEn (20.855€) baino 3.500-5.000€ txikiagoa da. Datu horiek berresten dute Pasaiako maila sozioekonomikoa beraien eskualdekoa baino askoz ere txikiagoa dela. Halaber, errenta pertsonal erabilgarrian ere sexuaren araberako desoreka argia antzematen da: Pasaiako emakumeen errenta pertsonal erabilgarria (14.650€) gizonena baino %28,7 apalagoa da (20.537€). Eskualdeko egitura sozioekonomikoak errenta mailan eragiten duen genero desoreka argia da (ikus </w:t>
      </w:r>
      <w:r>
        <w:rPr>
          <w:color w:val="auto"/>
          <w:sz w:val="22"/>
          <w:szCs w:val="22"/>
        </w:rPr>
        <w:fldChar w:fldCharType="begin"/>
      </w:r>
      <w:r>
        <w:rPr>
          <w:sz w:val="22"/>
          <w:szCs w:val="22"/>
          <w:color w:val="auto"/>
        </w:rPr>
        <w:instrText xml:space="preserve"> REF _Ref176949226 \h </w:instrText>
      </w:r>
      <w:r>
        <w:rPr>
          <w:sz w:val="22"/>
          <w:szCs w:val="22"/>
          <w:color w:val="auto"/>
        </w:rPr>
        <w:fldChar w:fldCharType="separate"/>
      </w:r>
      <w:r>
        <w:rPr>
          <w:sz w:val="22"/>
          <w:szCs w:val="22"/>
          <w:color w:val="auto"/>
        </w:rPr>
        <w:t>43. Grafikoa</w:t>
      </w:r>
      <w:r>
        <w:rPr>
          <w:sz w:val="22"/>
          <w:szCs w:val="22"/>
          <w:color w:val="auto"/>
        </w:rPr>
        <w:fldChar w:fldCharType="end"/>
      </w:r>
      <w:r>
        <w:rPr>
          <w:color w:val="auto"/>
          <w:sz w:val="22"/>
          <w:szCs w:val="22"/>
        </w:rPr>
        <w:t xml:space="preserve">, </w:t>
      </w:r>
      <w:r>
        <w:rPr>
          <w:color w:val="auto"/>
          <w:sz w:val="22"/>
          <w:szCs w:val="22"/>
        </w:rPr>
        <w:fldChar w:fldCharType="begin"/>
      </w:r>
      <w:r>
        <w:rPr>
          <w:sz w:val="22"/>
          <w:szCs w:val="22"/>
          <w:color w:val="auto"/>
        </w:rPr>
        <w:instrText xml:space="preserve"> REF _Ref176949230 \h </w:instrText>
      </w:r>
      <w:r>
        <w:rPr>
          <w:sz w:val="22"/>
          <w:szCs w:val="22"/>
          <w:color w:val="auto"/>
        </w:rPr>
        <w:fldChar w:fldCharType="separate"/>
      </w:r>
      <w:r>
        <w:rPr>
          <w:sz w:val="22"/>
          <w:szCs w:val="22"/>
          <w:color w:val="auto"/>
        </w:rPr>
        <w:t>44. Grafikoa</w:t>
      </w:r>
      <w:r>
        <w:rPr>
          <w:sz w:val="22"/>
          <w:szCs w:val="22"/>
          <w:color w:val="auto"/>
        </w:rPr>
        <w:fldChar w:fldCharType="end"/>
      </w:r>
      <w:r>
        <w:rPr>
          <w:color w:val="auto"/>
          <w:sz w:val="22"/>
          <w:szCs w:val="22"/>
        </w:rPr>
        <w:t xml:space="preserve"> eta </w:t>
      </w:r>
      <w:r>
        <w:rPr>
          <w:color w:val="auto"/>
          <w:sz w:val="22"/>
          <w:szCs w:val="22"/>
        </w:rPr>
        <w:fldChar w:fldCharType="begin"/>
      </w:r>
      <w:r>
        <w:rPr>
          <w:sz w:val="22"/>
          <w:szCs w:val="22"/>
          <w:color w:val="auto"/>
        </w:rPr>
        <w:instrText xml:space="preserve"> REF _Ref176949213 \h </w:instrText>
      </w:r>
      <w:r>
        <w:rPr>
          <w:sz w:val="22"/>
          <w:szCs w:val="22"/>
          <w:color w:val="auto"/>
        </w:rPr>
        <w:fldChar w:fldCharType="separate"/>
      </w:r>
      <w:r>
        <w:rPr>
          <w:sz w:val="22"/>
          <w:szCs w:val="22"/>
          <w:color w:val="auto"/>
        </w:rPr>
        <w:t>22. Taula</w:t>
      </w:r>
      <w:r>
        <w:rPr>
          <w:sz w:val="22"/>
          <w:szCs w:val="22"/>
          <w:color w:val="auto"/>
        </w:rPr>
        <w:fldChar w:fldCharType="end"/>
      </w:r>
      <w:r>
        <w:rPr>
          <w:color w:val="auto"/>
          <w:sz w:val="22"/>
          <w:szCs w:val="22"/>
        </w:rPr>
        <w:t>).</w:t>
      </w:r>
    </w:p>
    <w:p>
      <w:pPr>
        <w:pStyle w:val="Iturria"/>
        <w:jc w:val="both"/>
        <w:rPr>
          <w:color w:val="auto"/>
          <w:sz w:val="22"/>
          <w:szCs w:val="22"/>
        </w:rPr>
      </w:pPr>
      <w:r>
        <w:rPr>
          <w:color w:val="auto"/>
          <w:sz w:val="22"/>
          <w:szCs w:val="22"/>
        </w:rPr>
      </w:r>
    </w:p>
    <w:p>
      <w:pPr>
        <w:pStyle w:val="Iturria"/>
        <w:jc w:val="both"/>
        <w:rPr>
          <w:color w:val="auto"/>
          <w:sz w:val="22"/>
          <w:szCs w:val="22"/>
        </w:rPr>
      </w:pPr>
      <w:r>
        <w:rPr>
          <w:color w:val="auto"/>
          <w:sz w:val="22"/>
          <w:szCs w:val="22"/>
        </w:rPr>
      </w:r>
    </w:p>
    <w:p>
      <w:pPr>
        <w:pStyle w:val="Normal"/>
        <w:rPr/>
      </w:pPr>
      <w:r>
        <w:rPr/>
      </w:r>
      <w:r>
        <w:br w:type="page"/>
      </w:r>
    </w:p>
    <w:p>
      <w:pPr>
        <w:pStyle w:val="Caption"/>
        <w:rPr/>
      </w:pPr>
      <w:bookmarkStart w:id="168" w:name="_Toc191031117"/>
      <w:bookmarkStart w:id="169" w:name="_Ref176949226"/>
      <w:r>
        <w:rPr/>
        <w:fldChar w:fldCharType="begin"/>
      </w:r>
      <w:r>
        <w:rPr/>
        <w:instrText xml:space="preserve"> SEQ Grafikoa \* ARABIC </w:instrText>
      </w:r>
      <w:r>
        <w:rPr/>
        <w:fldChar w:fldCharType="separate"/>
      </w:r>
      <w:r>
        <w:rPr/>
        <w:t>43</w:t>
      </w:r>
      <w:r>
        <w:rPr/>
        <w:fldChar w:fldCharType="end"/>
      </w:r>
      <w:r>
        <w:rPr/>
        <w:t>. Grafikoa</w:t>
      </w:r>
      <w:bookmarkEnd w:id="169"/>
      <w:r>
        <w:rPr/>
        <w:t>: Errenta pertsonal erabilgarriaren bilakaera (€).</w:t>
        <w:br/>
        <w:t>Pasaia eta bere testuingurua, 2001-2022</w:t>
      </w:r>
      <w:bookmarkEnd w:id="168"/>
    </w:p>
    <w:p>
      <w:pPr>
        <w:pStyle w:val="Normal"/>
        <w:jc w:val="right"/>
        <w:rPr>
          <w:rStyle w:val="IturriaKar"/>
        </w:rPr>
      </w:pPr>
      <w:r>
        <w:rPr/>
        <w:drawing>
          <wp:inline distT="0" distB="0" distL="0" distR="0">
            <wp:extent cx="5390515" cy="3200400"/>
            <wp:effectExtent l="0" t="0" r="0" b="0"/>
            <wp:docPr id="47" name="Irudia 12" descr="Hau duen irudia testua, Lurrazala, pantaila-argazkia, diagram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rudia 12" descr="Hau duen irudia testua, Lurrazala, pantaila-argazkia, diagrama&#10;&#10;Azalpena automatikoki sortu da"/>
                    <pic:cNvPicPr>
                      <a:picLocks noChangeAspect="1" noChangeArrowheads="1"/>
                    </pic:cNvPicPr>
                  </pic:nvPicPr>
                  <pic:blipFill>
                    <a:blip r:embed="rId48"/>
                    <a:stretch>
                      <a:fillRect/>
                    </a:stretch>
                  </pic:blipFill>
                  <pic:spPr bwMode="auto">
                    <a:xfrm>
                      <a:off x="0" y="0"/>
                      <a:ext cx="5390515" cy="3200400"/>
                    </a:xfrm>
                    <a:prstGeom prst="rect">
                      <a:avLst/>
                    </a:prstGeom>
                  </pic:spPr>
                </pic:pic>
              </a:graphicData>
            </a:graphic>
          </wp:inline>
        </w:drawing>
      </w:r>
      <w:r>
        <w:rPr>
          <w:rStyle w:val="IturriaKar"/>
        </w:rPr>
        <w:t xml:space="preserve"> </w:t>
      </w:r>
      <w:r>
        <w:rPr>
          <w:rStyle w:val="IturriaKar"/>
        </w:rPr>
        <w:t>Iturria: Eustat.</w:t>
      </w:r>
    </w:p>
    <w:p>
      <w:pPr>
        <w:pStyle w:val="Normal"/>
        <w:jc w:val="right"/>
        <w:rPr>
          <w:rStyle w:val="IturriaKar"/>
        </w:rPr>
      </w:pPr>
      <w:r>
        <w:rPr/>
      </w:r>
    </w:p>
    <w:p>
      <w:pPr>
        <w:pStyle w:val="Caption"/>
        <w:rPr/>
      </w:pPr>
      <w:bookmarkStart w:id="170" w:name="_Toc191031118"/>
      <w:bookmarkStart w:id="171" w:name="_Ref176949230"/>
      <w:r>
        <w:rPr/>
        <w:fldChar w:fldCharType="begin"/>
      </w:r>
      <w:r>
        <w:rPr/>
        <w:instrText xml:space="preserve"> SEQ Grafikoa \* ARABIC </w:instrText>
      </w:r>
      <w:r>
        <w:rPr/>
        <w:fldChar w:fldCharType="separate"/>
      </w:r>
      <w:r>
        <w:rPr/>
        <w:t>44</w:t>
      </w:r>
      <w:r>
        <w:rPr/>
        <w:fldChar w:fldCharType="end"/>
      </w:r>
      <w:r>
        <w:rPr/>
        <w:t>. Grafikoa</w:t>
      </w:r>
      <w:bookmarkEnd w:id="171"/>
      <w:r>
        <w:rPr/>
        <w:t>: Errenta pertsonal erabilgarriaren bilakaera sexuaren arabera (€).</w:t>
        <w:br/>
        <w:t>Pasaia, 2001-2022</w:t>
      </w:r>
      <w:bookmarkEnd w:id="170"/>
    </w:p>
    <w:p>
      <w:pPr>
        <w:pStyle w:val="Normal"/>
        <w:rPr/>
      </w:pPr>
      <w:r>
        <w:rPr/>
        <w:drawing>
          <wp:inline distT="0" distB="0" distL="0" distR="0">
            <wp:extent cx="5390515" cy="3200400"/>
            <wp:effectExtent l="0" t="0" r="0" b="0"/>
            <wp:docPr id="48" name="Imagen34" descr="Hau duen irudia testua, Lurrazala, diagrama, lerr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34" descr="Hau duen irudia testua, Lurrazala, diagrama, lerroa&#10;&#10;Azalpena automatikoki sortu da"/>
                    <pic:cNvPicPr>
                      <a:picLocks noChangeAspect="1" noChangeArrowheads="1"/>
                    </pic:cNvPicPr>
                  </pic:nvPicPr>
                  <pic:blipFill>
                    <a:blip r:embed="rId49"/>
                    <a:stretch>
                      <a:fillRect/>
                    </a:stretch>
                  </pic:blipFill>
                  <pic:spPr bwMode="auto">
                    <a:xfrm>
                      <a:off x="0" y="0"/>
                      <a:ext cx="5390515" cy="3200400"/>
                    </a:xfrm>
                    <a:prstGeom prst="rect">
                      <a:avLst/>
                    </a:prstGeom>
                  </pic:spPr>
                </pic:pic>
              </a:graphicData>
            </a:graphic>
          </wp:inline>
        </w:drawing>
      </w:r>
    </w:p>
    <w:p>
      <w:pPr>
        <w:pStyle w:val="Iturria"/>
        <w:rPr>
          <w:rStyle w:val="IturriaKar"/>
        </w:rPr>
      </w:pPr>
      <w:r>
        <w:rPr>
          <w:rStyle w:val="2izenburuaKar"/>
        </w:rPr>
        <w:t xml:space="preserve"> </w:t>
      </w:r>
      <w:r>
        <w:rPr>
          <w:rStyle w:val="IturriaKar"/>
        </w:rPr>
        <w:t>Iturria: Eustat.</w:t>
      </w:r>
    </w:p>
    <w:p>
      <w:pPr>
        <w:pStyle w:val="Iturria"/>
        <w:rPr>
          <w:rStyle w:val="IturriaKar"/>
        </w:rPr>
      </w:pPr>
      <w:r>
        <w:rPr/>
      </w:r>
    </w:p>
    <w:p>
      <w:pPr>
        <w:pStyle w:val="Normal"/>
        <w:rPr/>
      </w:pPr>
      <w:r>
        <w:rPr/>
      </w:r>
    </w:p>
    <w:p>
      <w:pPr>
        <w:pStyle w:val="Caption"/>
        <w:rPr/>
      </w:pPr>
      <w:bookmarkStart w:id="172" w:name="_Toc191031165"/>
      <w:bookmarkStart w:id="173" w:name="_Ref176949213"/>
      <w:r>
        <w:rPr/>
        <w:fldChar w:fldCharType="begin"/>
      </w:r>
      <w:r>
        <w:rPr/>
        <w:instrText xml:space="preserve"> SEQ Taula \* ARABIC </w:instrText>
      </w:r>
      <w:r>
        <w:rPr/>
        <w:fldChar w:fldCharType="separate"/>
      </w:r>
      <w:r>
        <w:rPr/>
        <w:t>22</w:t>
      </w:r>
      <w:r>
        <w:rPr/>
        <w:fldChar w:fldCharType="end"/>
      </w:r>
      <w:r>
        <w:rPr/>
        <w:t>. Taula</w:t>
      </w:r>
      <w:bookmarkEnd w:id="173"/>
      <w:r>
        <w:rPr/>
        <w:t>: Errenta pertsonal erabilgarriaren bilakaera sexuaren arabera (€).</w:t>
        <w:br/>
        <w:t>Pasaia, 2001-2022</w:t>
      </w:r>
      <w:bookmarkEnd w:id="172"/>
    </w:p>
    <w:tbl>
      <w:tblPr>
        <w:tblW w:w="67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66"/>
        <w:gridCol w:w="933"/>
        <w:gridCol w:w="935"/>
        <w:gridCol w:w="935"/>
        <w:gridCol w:w="934"/>
        <w:gridCol w:w="934"/>
        <w:gridCol w:w="934"/>
      </w:tblGrid>
      <w:tr>
        <w:trPr>
          <w:trHeight w:val="300" w:hRule="atLeast"/>
        </w:trPr>
        <w:tc>
          <w:tcPr>
            <w:tcW w:w="116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9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2001</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2006</w:t>
            </w:r>
          </w:p>
        </w:tc>
        <w:tc>
          <w:tcPr>
            <w:tcW w:w="93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2009</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2014</w:t>
            </w:r>
          </w:p>
        </w:tc>
        <w:tc>
          <w:tcPr>
            <w:tcW w:w="9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5.616</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8.670</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10.565</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11.005</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12.164</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14.650</w:t>
            </w:r>
          </w:p>
        </w:tc>
      </w:tr>
      <w:tr>
        <w:trPr>
          <w:trHeight w:val="300" w:hRule="atLeast"/>
        </w:trPr>
        <w:tc>
          <w:tcPr>
            <w:tcW w:w="116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12.041</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15.711</w:t>
            </w:r>
          </w:p>
        </w:tc>
        <w:tc>
          <w:tcPr>
            <w:tcW w:w="93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17.814</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16.634</w:t>
            </w:r>
          </w:p>
        </w:tc>
        <w:tc>
          <w:tcPr>
            <w:tcW w:w="9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18.109</w:t>
            </w:r>
          </w:p>
        </w:tc>
        <w:tc>
          <w:tcPr>
            <w:tcW w:w="9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20.537</w:t>
            </w:r>
          </w:p>
        </w:tc>
      </w:tr>
      <w:tr>
        <w:trPr>
          <w:trHeight w:val="300" w:hRule="atLeast"/>
        </w:trPr>
        <w:tc>
          <w:tcPr>
            <w:tcW w:w="116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8.720</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12.059</w:t>
            </w:r>
          </w:p>
        </w:tc>
        <w:tc>
          <w:tcPr>
            <w:tcW w:w="93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14.018</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13.687</w:t>
            </w:r>
          </w:p>
        </w:tc>
        <w:tc>
          <w:tcPr>
            <w:tcW w:w="9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14.989</w:t>
            </w:r>
          </w:p>
        </w:tc>
        <w:tc>
          <w:tcPr>
            <w:tcW w:w="9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17.443</w:t>
            </w:r>
          </w:p>
        </w:tc>
      </w:tr>
    </w:tbl>
    <w:p>
      <w:pPr>
        <w:pStyle w:val="Iturria"/>
        <w:rPr/>
      </w:pPr>
      <w:r>
        <w:rPr>
          <w:rStyle w:val="IturriaKar"/>
        </w:rPr>
        <w:t xml:space="preserve"> </w:t>
      </w:r>
      <w:r>
        <w:rPr>
          <w:rStyle w:val="IturriaKar"/>
        </w:rPr>
        <w:t>Iturria: Eustat.</w:t>
      </w:r>
    </w:p>
    <w:p>
      <w:pPr>
        <w:pStyle w:val="Iturria"/>
        <w:rPr>
          <w:rStyle w:val="IturriaKar"/>
        </w:rPr>
      </w:pPr>
      <w:r>
        <w:rPr/>
      </w:r>
    </w:p>
    <w:p>
      <w:pPr>
        <w:pStyle w:val="Iturria"/>
        <w:rPr>
          <w:rStyle w:val="IturriaKar"/>
        </w:rPr>
      </w:pPr>
      <w:r>
        <w:rPr/>
      </w:r>
    </w:p>
    <w:p>
      <w:pPr>
        <w:pStyle w:val="Normal"/>
        <w:rPr>
          <w:rStyle w:val="IturriaKar"/>
        </w:rPr>
      </w:pPr>
      <w:r>
        <w:rPr/>
      </w:r>
      <w:r>
        <w:br w:type="page"/>
      </w:r>
    </w:p>
    <w:p>
      <w:pPr>
        <w:pStyle w:val="Ttulo1"/>
        <w:rPr/>
      </w:pPr>
      <w:bookmarkStart w:id="174" w:name="_Toc191031050"/>
      <w:r>
        <w:rPr/>
        <w:t>Etxebizitza parkea</w:t>
      </w:r>
      <w:bookmarkEnd w:id="174"/>
    </w:p>
    <w:p>
      <w:pPr>
        <w:pStyle w:val="Normal"/>
        <w:jc w:val="both"/>
        <w:rPr/>
      </w:pPr>
      <w:r>
        <w:rPr/>
        <w:t>Udalerri bateko etxebizitza parkearen ezaugarritzea biztanleriaren bizigarritasun baldintzak ulertzeko baliagarria da. Halaber, etxebizitza parkearen erabilera mailak eta erabilera mota desberdinak aztertzeak udalerriak etorkizunean jasan ditzakeen bizitegi-dinamikak ezagutzeko balio du.</w:t>
      </w:r>
    </w:p>
    <w:p>
      <w:pPr>
        <w:pStyle w:val="Ttulo2"/>
        <w:rPr/>
      </w:pPr>
      <w:bookmarkStart w:id="175" w:name="_Toc191031051"/>
      <w:bookmarkStart w:id="176" w:name="_Toc175830255"/>
      <w:r>
        <w:rPr/>
        <w:t>Aldagai nagusiak</w:t>
      </w:r>
      <w:bookmarkStart w:id="177" w:name="_Ref176949243"/>
      <w:bookmarkEnd w:id="175"/>
      <w:bookmarkEnd w:id="176"/>
    </w:p>
    <w:p>
      <w:pPr>
        <w:pStyle w:val="Normal"/>
        <w:jc w:val="both"/>
        <w:rPr/>
      </w:pPr>
      <w:r>
        <w:rPr/>
        <w:t xml:space="preserve">Pasaiako etxebizitza parkea %3,1 hazi da 2010-2022 aldian, Donostialdean (%8,5), Gipuzkoan (%7,0) eta EAEn (%7,5) hazi denaren erdia baino gutxiago. Gainera, Pasaiako etxebizitzaren azken urteetako hazkundea Antxora mugatu da, nagusiki. Horiek horrela, Eustaten azken datuen arabera Pasaiako etxebizitza parkea 7.699 etxebizitzek osatzen dute: horietatik %90,3 etxebizitza nagusiak dira eta %9,7 gainerako etxebizitza motak. Udalerrian 4 establezimendu kolektibo ere badaude (ikus </w:t>
      </w:r>
      <w:r>
        <w:rPr/>
        <w:fldChar w:fldCharType="begin"/>
      </w:r>
      <w:r>
        <w:rPr/>
        <w:instrText xml:space="preserve"> REF _Ref190762537 \h </w:instrText>
      </w:r>
      <w:r>
        <w:rPr/>
        <w:fldChar w:fldCharType="separate"/>
      </w:r>
      <w:r>
        <w:rPr/>
        <w:t>45. Grafikoa</w:t>
      </w:r>
      <w:r>
        <w:rPr/>
        <w:fldChar w:fldCharType="end"/>
      </w:r>
      <w:r>
        <w:rPr/>
        <w:t xml:space="preserve"> eta </w:t>
      </w:r>
      <w:r>
        <w:rPr/>
        <w:fldChar w:fldCharType="begin"/>
      </w:r>
      <w:r>
        <w:rPr/>
        <w:instrText xml:space="preserve"> REF _Ref176949260 \h </w:instrText>
      </w:r>
      <w:r>
        <w:rPr/>
        <w:fldChar w:fldCharType="separate"/>
      </w:r>
      <w:r>
        <w:rPr/>
        <w:t>23. Taula</w:t>
      </w:r>
      <w:r>
        <w:rPr/>
        <w:fldChar w:fldCharType="end"/>
      </w:r>
      <w:r>
        <w:rPr/>
        <w:t>).</w:t>
      </w:r>
    </w:p>
    <w:p>
      <w:pPr>
        <w:pStyle w:val="Caption"/>
        <w:rPr/>
      </w:pPr>
      <w:bookmarkStart w:id="178" w:name="_Toc191031119"/>
      <w:bookmarkStart w:id="179" w:name="_Toc176184646"/>
      <w:bookmarkStart w:id="180" w:name="_Toc175830308"/>
      <w:bookmarkStart w:id="181" w:name="_Ref190762537"/>
      <w:r>
        <w:rPr/>
        <w:fldChar w:fldCharType="begin"/>
      </w:r>
      <w:r>
        <w:rPr/>
        <w:instrText xml:space="preserve"> SEQ Grafikoa \* ARABIC </w:instrText>
      </w:r>
      <w:r>
        <w:rPr/>
        <w:fldChar w:fldCharType="separate"/>
      </w:r>
      <w:r>
        <w:rPr/>
        <w:t>45</w:t>
      </w:r>
      <w:r>
        <w:rPr/>
        <w:fldChar w:fldCharType="end"/>
      </w:r>
      <w:r>
        <w:rPr/>
        <w:t>. Grafikoa</w:t>
      </w:r>
      <w:bookmarkEnd w:id="177"/>
      <w:bookmarkEnd w:id="181"/>
      <w:r>
        <w:rPr/>
        <w:t>: Etxebizitza parkearen bilakaera (%).</w:t>
        <w:br/>
        <w:t>Pasaia eta bere testuingurua, 2010-2023</w:t>
      </w:r>
      <w:bookmarkEnd w:id="178"/>
      <w:bookmarkEnd w:id="179"/>
      <w:bookmarkEnd w:id="180"/>
    </w:p>
    <w:p>
      <w:pPr>
        <w:pStyle w:val="Iturria"/>
        <w:rPr/>
      </w:pPr>
      <w:r>
        <w:rPr/>
        <w:drawing>
          <wp:inline distT="0" distB="0" distL="0" distR="0">
            <wp:extent cx="5390515" cy="3200400"/>
            <wp:effectExtent l="0" t="0" r="0" b="0"/>
            <wp:docPr id="49" name="Imagen35" descr="Hau duen irudia Lurrazala, diagrama, lerroa, testu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35" descr="Hau duen irudia Lurrazala, diagrama, lerroa, testua&#10;&#10;Baliteke AAk sortutako edukia zuzena ez izatea."/>
                    <pic:cNvPicPr>
                      <a:picLocks noChangeAspect="1" noChangeArrowheads="1"/>
                    </pic:cNvPicPr>
                  </pic:nvPicPr>
                  <pic:blipFill>
                    <a:blip r:embed="rId50"/>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Normal"/>
        <w:rPr/>
      </w:pPr>
      <w:r>
        <w:rPr/>
      </w:r>
    </w:p>
    <w:p>
      <w:pPr>
        <w:pStyle w:val="Caption"/>
        <w:rPr/>
      </w:pPr>
      <w:bookmarkStart w:id="182" w:name="_Toc191031166"/>
      <w:bookmarkStart w:id="183" w:name="_Toc175830346"/>
      <w:bookmarkStart w:id="184" w:name="_Ref176949260"/>
      <w:r>
        <w:rPr/>
        <w:fldChar w:fldCharType="begin"/>
      </w:r>
      <w:r>
        <w:rPr/>
        <w:instrText xml:space="preserve"> SEQ Taula \* ARABIC </w:instrText>
      </w:r>
      <w:r>
        <w:rPr/>
        <w:fldChar w:fldCharType="separate"/>
      </w:r>
      <w:r>
        <w:rPr/>
        <w:t>23</w:t>
      </w:r>
      <w:r>
        <w:rPr/>
        <w:fldChar w:fldCharType="end"/>
      </w:r>
      <w:r>
        <w:rPr/>
        <w:t>. Taula</w:t>
      </w:r>
      <w:bookmarkEnd w:id="184"/>
      <w:r>
        <w:rPr/>
        <w:t>: Etxebizitza parkearen bilakaera motaren arabera (kop.).</w:t>
        <w:br/>
        <w:t>Pasaia 2010-2023</w:t>
      </w:r>
      <w:bookmarkEnd w:id="182"/>
      <w:bookmarkEnd w:id="183"/>
    </w:p>
    <w:tbl>
      <w:tblPr>
        <w:tblW w:w="831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556"/>
        <w:gridCol w:w="961"/>
        <w:gridCol w:w="960"/>
        <w:gridCol w:w="959"/>
        <w:gridCol w:w="960"/>
        <w:gridCol w:w="961"/>
        <w:gridCol w:w="959"/>
      </w:tblGrid>
      <w:tr>
        <w:trPr>
          <w:trHeight w:val="300" w:hRule="atLeast"/>
        </w:trPr>
        <w:tc>
          <w:tcPr>
            <w:tcW w:w="255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Tipologia</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2010</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255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Etxebizitza nagusiak</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6.452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6.492</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6.859</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6.879</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6.921</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6.950</w:t>
            </w:r>
          </w:p>
        </w:tc>
      </w:tr>
      <w:tr>
        <w:trPr>
          <w:trHeight w:val="300" w:hRule="atLeast"/>
        </w:trPr>
        <w:tc>
          <w:tcPr>
            <w:tcW w:w="255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Gainerakoak</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915</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852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922</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783</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745</w:t>
            </w:r>
          </w:p>
        </w:tc>
      </w:tr>
      <w:tr>
        <w:trPr>
          <w:trHeight w:val="300" w:hRule="atLeast"/>
        </w:trPr>
        <w:tc>
          <w:tcPr>
            <w:tcW w:w="255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Establezimendu kolektiboak</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r>
      <w:tr>
        <w:trPr>
          <w:trHeight w:val="300" w:hRule="atLeast"/>
        </w:trPr>
        <w:tc>
          <w:tcPr>
            <w:tcW w:w="255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7.460</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7.416</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7.717</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7.806</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7.708</w:t>
            </w:r>
          </w:p>
        </w:tc>
        <w:tc>
          <w:tcPr>
            <w:tcW w:w="95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7.699</w:t>
            </w:r>
          </w:p>
        </w:tc>
      </w:tr>
    </w:tbl>
    <w:p>
      <w:pPr>
        <w:pStyle w:val="Iturria"/>
        <w:rPr>
          <w:rStyle w:val="IturriaKar"/>
        </w:rPr>
      </w:pPr>
      <w:r>
        <w:rPr>
          <w:rStyle w:val="IturriaKar"/>
        </w:rPr>
        <w:t xml:space="preserve"> </w:t>
      </w:r>
      <w:r>
        <w:rPr>
          <w:rStyle w:val="IturriaKar"/>
        </w:rPr>
        <w:t>Iturria: Eustat.</w:t>
      </w:r>
    </w:p>
    <w:p>
      <w:pPr>
        <w:pStyle w:val="Iturria"/>
        <w:rPr>
          <w:rStyle w:val="IturriaKar"/>
        </w:rPr>
      </w:pPr>
      <w:r>
        <w:rPr/>
      </w:r>
    </w:p>
    <w:p>
      <w:pPr>
        <w:pStyle w:val="Normal"/>
        <w:jc w:val="both"/>
        <w:rPr>
          <w:rStyle w:val="IturriaKar"/>
        </w:rPr>
      </w:pPr>
      <w:r>
        <w:rPr/>
        <w:t xml:space="preserve">Halaber, etxebizitza parkea ez da modu homogeneoan banatzen. Trintxerpe (2.684 etxebizitza) eta Antxo (2.462 etxebizitza) barrutiak dira etxebizitza gehien biltzen dutenak. Donibanen (1.102 etxebizitza) eta San Pedron (2.684 etxebizitza) kopura ia erdia da. Etxebizitza parkearen bero mapan dentsitate handieneko zonaldeak oso argi identifikatzen dira: Antxoko erdigunea, Trintxerpeko mendebaldea eta San Pedro-Trintxerpe arteko muga (ikus </w:t>
      </w:r>
      <w:r>
        <w:rPr/>
        <w:fldChar w:fldCharType="begin"/>
      </w:r>
      <w:r>
        <w:rPr/>
        <w:instrText xml:space="preserve"> REF _Ref190767839 \h </w:instrText>
      </w:r>
      <w:r>
        <w:rPr/>
        <w:fldChar w:fldCharType="separate"/>
      </w:r>
      <w:r>
        <w:rPr/>
        <w:t>4. Irudia</w:t>
      </w:r>
      <w:r>
        <w:rPr/>
        <w:fldChar w:fldCharType="end"/>
      </w:r>
      <w:r>
        <w:rPr/>
        <w:t xml:space="preserve">). </w:t>
      </w:r>
    </w:p>
    <w:p>
      <w:pPr>
        <w:pStyle w:val="Caption"/>
        <w:rPr/>
      </w:pPr>
      <w:bookmarkStart w:id="185" w:name="_Toc191031194"/>
      <w:bookmarkStart w:id="186" w:name="_Ref190767839"/>
      <w:r>
        <w:rPr/>
        <w:fldChar w:fldCharType="begin"/>
      </w:r>
      <w:r>
        <w:rPr/>
        <w:instrText xml:space="preserve"> SEQ Irudia \* ARABIC </w:instrText>
      </w:r>
      <w:r>
        <w:rPr/>
        <w:fldChar w:fldCharType="separate"/>
      </w:r>
      <w:r>
        <w:rPr/>
        <w:t>4</w:t>
      </w:r>
      <w:r>
        <w:rPr/>
        <w:fldChar w:fldCharType="end"/>
      </w:r>
      <w:r>
        <w:rPr/>
        <w:t>. Irudia</w:t>
      </w:r>
      <w:bookmarkEnd w:id="186"/>
      <w:r>
        <w:rPr/>
        <w:t>: Etxebizitza parkearen bero mapa.</w:t>
        <w:br/>
        <w:t>Pasaia, 2025</w:t>
      </w:r>
      <w:bookmarkEnd w:id="185"/>
    </w:p>
    <w:p>
      <w:pPr>
        <w:pStyle w:val="Normal"/>
        <w:jc w:val="center"/>
        <w:rPr/>
      </w:pPr>
      <w:r>
        <w:rPr/>
        <w:drawing>
          <wp:inline distT="0" distB="0" distL="0" distR="0">
            <wp:extent cx="5400040" cy="3816350"/>
            <wp:effectExtent l="0" t="0" r="0" b="0"/>
            <wp:docPr id="50" name="Imagen36" descr="Hau duen irudia mapa, testu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36" descr="Hau duen irudia mapa, testua&#10;&#10;Baliteke AAk sortutako edukia zuzena ez izatea."/>
                    <pic:cNvPicPr>
                      <a:picLocks noChangeAspect="1" noChangeArrowheads="1"/>
                    </pic:cNvPicPr>
                  </pic:nvPicPr>
                  <pic:blipFill>
                    <a:blip r:embed="rId51"/>
                    <a:stretch>
                      <a:fillRect/>
                    </a:stretch>
                  </pic:blipFill>
                  <pic:spPr bwMode="auto">
                    <a:xfrm>
                      <a:off x="0" y="0"/>
                      <a:ext cx="5400040" cy="3816350"/>
                    </a:xfrm>
                    <a:prstGeom prst="rect">
                      <a:avLst/>
                    </a:prstGeom>
                  </pic:spPr>
                </pic:pic>
              </a:graphicData>
            </a:graphic>
          </wp:inline>
        </w:drawing>
      </w:r>
    </w:p>
    <w:p>
      <w:pPr>
        <w:pStyle w:val="Normal"/>
        <w:jc w:val="right"/>
        <w:rPr>
          <w:rStyle w:val="IturriaKar"/>
        </w:rPr>
      </w:pPr>
      <w:r>
        <w:rPr>
          <w:rStyle w:val="IturriaKar"/>
        </w:rPr>
        <w:t>Iturria: Errolda.</w:t>
      </w:r>
    </w:p>
    <w:p>
      <w:pPr>
        <w:pStyle w:val="Normal"/>
        <w:jc w:val="both"/>
        <w:rPr/>
      </w:pPr>
      <w:r>
        <w:rPr/>
        <w:t xml:space="preserve">Eustatek eskaintzen dituen datuen arabera Pasaiako etxebizitza nagusien ezaugarriak gainerako lurralde eremuekin alderatu dira. Etxebizitza bakoitzeko biztanle kopuruaren arabera, pertsona bakarreko etxebizitzak %31,6 dira (2.199 etxebizitza), bi pertsonakoak %30,4 (2.110 etxebizitza) eta 3-5 pertsona bitartekoak %36,1 (2.508 etxebizitza). Datu horiek bat datoz 3. atalean errolda ustiapenaren bidez egin den bizikidetza-unitateen azterketarekin. Etxebizitza nagusien batez besteko biztanleen datua ere bizikidetza-unitateen azterketarekin bat dator: azken urteetako joera beherakorra da eta bere ratioa (2,4) Donostialdearen, Gipuzkoaren eta EAEren parekoa da (ikus </w:t>
      </w:r>
      <w:r>
        <w:rPr/>
        <w:fldChar w:fldCharType="begin"/>
      </w:r>
      <w:r>
        <w:rPr/>
        <w:instrText xml:space="preserve"> REF _Ref176949298 \h </w:instrText>
      </w:r>
      <w:r>
        <w:rPr/>
        <w:fldChar w:fldCharType="separate"/>
      </w:r>
      <w:r>
        <w:rPr/>
        <w:t>46. Grafikoa</w:t>
      </w:r>
      <w:r>
        <w:rPr/>
        <w:fldChar w:fldCharType="end"/>
      </w:r>
      <w:r>
        <w:rPr/>
        <w:t xml:space="preserve"> eta </w:t>
      </w:r>
      <w:r>
        <w:rPr/>
        <w:fldChar w:fldCharType="begin"/>
      </w:r>
      <w:r>
        <w:rPr/>
        <w:instrText xml:space="preserve"> REF _Ref176949286 \h </w:instrText>
      </w:r>
      <w:r>
        <w:rPr/>
        <w:fldChar w:fldCharType="separate"/>
      </w:r>
      <w:r>
        <w:rPr/>
        <w:t>24. Taula</w:t>
      </w:r>
      <w:r>
        <w:rPr/>
        <w:fldChar w:fldCharType="end"/>
      </w:r>
      <w:r>
        <w:rPr/>
        <w:t xml:space="preserve">). </w:t>
      </w:r>
    </w:p>
    <w:p>
      <w:pPr>
        <w:pStyle w:val="Normal"/>
        <w:jc w:val="both"/>
        <w:rPr/>
      </w:pPr>
      <w:r>
        <w:rPr/>
      </w:r>
    </w:p>
    <w:p>
      <w:pPr>
        <w:pStyle w:val="Normal"/>
        <w:rPr/>
      </w:pPr>
      <w:r>
        <w:rPr/>
      </w:r>
      <w:r>
        <w:br w:type="page"/>
      </w:r>
    </w:p>
    <w:p>
      <w:pPr>
        <w:pStyle w:val="Caption"/>
        <w:rPr/>
      </w:pPr>
      <w:bookmarkStart w:id="187" w:name="_Toc191031120"/>
      <w:bookmarkStart w:id="188" w:name="_Toc176184647"/>
      <w:bookmarkStart w:id="189" w:name="_Toc175830309"/>
      <w:bookmarkStart w:id="190" w:name="_Ref176949298"/>
      <w:r>
        <w:rPr/>
        <w:fldChar w:fldCharType="begin"/>
      </w:r>
      <w:r>
        <w:rPr/>
        <w:instrText xml:space="preserve"> SEQ Grafikoa \* ARABIC </w:instrText>
      </w:r>
      <w:r>
        <w:rPr/>
        <w:fldChar w:fldCharType="separate"/>
      </w:r>
      <w:r>
        <w:rPr/>
        <w:t>46</w:t>
      </w:r>
      <w:r>
        <w:rPr/>
        <w:fldChar w:fldCharType="end"/>
      </w:r>
      <w:r>
        <w:rPr/>
        <w:t>. Grafikoa</w:t>
      </w:r>
      <w:bookmarkEnd w:id="190"/>
      <w:r>
        <w:rPr/>
        <w:t>: Etxebizitza nagusien batez besteko biztanle kopuruaren bilakaera (kop.).</w:t>
        <w:br/>
        <w:t>Pasaia eta bere testuingurua, 2010-2023</w:t>
      </w:r>
      <w:bookmarkEnd w:id="187"/>
      <w:bookmarkEnd w:id="188"/>
      <w:bookmarkEnd w:id="189"/>
    </w:p>
    <w:p>
      <w:pPr>
        <w:pStyle w:val="Iturria"/>
        <w:rPr>
          <w:rStyle w:val="IturriaKar"/>
        </w:rPr>
      </w:pPr>
      <w:r>
        <w:rPr/>
        <w:drawing>
          <wp:inline distT="0" distB="0" distL="0" distR="0">
            <wp:extent cx="5390515" cy="3200400"/>
            <wp:effectExtent l="0" t="0" r="0" b="0"/>
            <wp:docPr id="51" name="Imagen37" descr="Hau duen irudia testua, Lurrazala, pantaila-argazki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37" descr="Hau duen irudia testua, Lurrazala, pantaila-argazkia, lerroa&#10;&#10;Baliteke AAk sortutako edukia zuzena ez izatea."/>
                    <pic:cNvPicPr>
                      <a:picLocks noChangeAspect="1" noChangeArrowheads="1"/>
                    </pic:cNvPicPr>
                  </pic:nvPicPr>
                  <pic:blipFill>
                    <a:blip r:embed="rId52"/>
                    <a:stretch>
                      <a:fillRect/>
                    </a:stretch>
                  </pic:blipFill>
                  <pic:spPr bwMode="auto">
                    <a:xfrm>
                      <a:off x="0" y="0"/>
                      <a:ext cx="5390515" cy="3200400"/>
                    </a:xfrm>
                    <a:prstGeom prst="rect">
                      <a:avLst/>
                    </a:prstGeom>
                  </pic:spPr>
                </pic:pic>
              </a:graphicData>
            </a:graphic>
          </wp:inline>
        </w:drawing>
      </w:r>
      <w:r>
        <w:rPr>
          <w:rStyle w:val="IturriaKar"/>
        </w:rPr>
        <w:t>Iturria: Eustat.</w:t>
      </w:r>
    </w:p>
    <w:p>
      <w:pPr>
        <w:pStyle w:val="Iturria"/>
        <w:rPr/>
      </w:pPr>
      <w:r>
        <w:rPr/>
      </w:r>
    </w:p>
    <w:p>
      <w:pPr>
        <w:pStyle w:val="Caption"/>
        <w:rPr/>
      </w:pPr>
      <w:bookmarkStart w:id="191" w:name="_Toc191031167"/>
      <w:bookmarkStart w:id="192" w:name="_Toc175830347"/>
      <w:bookmarkStart w:id="193" w:name="_Ref176949286"/>
      <w:r>
        <w:rPr/>
        <w:fldChar w:fldCharType="begin"/>
      </w:r>
      <w:r>
        <w:rPr/>
        <w:instrText xml:space="preserve"> SEQ Taula \* ARABIC </w:instrText>
      </w:r>
      <w:r>
        <w:rPr/>
        <w:fldChar w:fldCharType="separate"/>
      </w:r>
      <w:r>
        <w:rPr/>
        <w:t>24</w:t>
      </w:r>
      <w:r>
        <w:rPr/>
        <w:fldChar w:fldCharType="end"/>
      </w:r>
      <w:r>
        <w:rPr/>
        <w:t>. Taula</w:t>
      </w:r>
      <w:bookmarkEnd w:id="193"/>
      <w:r>
        <w:rPr/>
        <w:t>: Etxebizitza nagusien bilakaera biztanle kopuruaren arabera (kop.).</w:t>
        <w:br/>
        <w:t>Pasaia, 2010-202</w:t>
      </w:r>
      <w:bookmarkEnd w:id="192"/>
      <w:r>
        <w:rPr/>
        <w:t>3</w:t>
      </w:r>
      <w:bookmarkEnd w:id="191"/>
    </w:p>
    <w:tbl>
      <w:tblPr>
        <w:tblW w:w="714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381"/>
        <w:gridCol w:w="959"/>
        <w:gridCol w:w="961"/>
        <w:gridCol w:w="960"/>
        <w:gridCol w:w="959"/>
        <w:gridCol w:w="961"/>
        <w:gridCol w:w="959"/>
      </w:tblGrid>
      <w:tr>
        <w:trPr>
          <w:trHeight w:val="300" w:hRule="atLeast"/>
        </w:trPr>
        <w:tc>
          <w:tcPr>
            <w:tcW w:w="138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Biztanle kopurua</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2010</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2013</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3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Pertsona 1</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1.734</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1.811</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2.075</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2.066</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2.178</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2.199</w:t>
            </w:r>
          </w:p>
        </w:tc>
      </w:tr>
      <w:tr>
        <w:trPr>
          <w:trHeight w:val="300" w:hRule="atLeast"/>
        </w:trPr>
        <w:tc>
          <w:tcPr>
            <w:tcW w:w="13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 pertsona</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1.968</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1.936</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2.074</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2.097</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2.096</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2.110</w:t>
            </w:r>
          </w:p>
        </w:tc>
      </w:tr>
      <w:tr>
        <w:trPr>
          <w:trHeight w:val="300" w:hRule="atLeast"/>
        </w:trPr>
        <w:tc>
          <w:tcPr>
            <w:tcW w:w="13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 pertsona</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2.636</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2.628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2.613</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2.595</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2.532</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2.508</w:t>
            </w:r>
          </w:p>
        </w:tc>
      </w:tr>
      <w:tr>
        <w:trPr>
          <w:trHeight w:val="300" w:hRule="atLeast"/>
        </w:trPr>
        <w:tc>
          <w:tcPr>
            <w:tcW w:w="13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 pertsona</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92</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116</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111</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127</w:t>
            </w:r>
          </w:p>
        </w:tc>
      </w:tr>
      <w:tr>
        <w:trPr>
          <w:trHeight w:val="300" w:hRule="atLeast"/>
        </w:trPr>
        <w:tc>
          <w:tcPr>
            <w:tcW w:w="138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ascii="Aptos Narrow" w:hAnsi="Aptos Narrow"/>
                <w:color w:val="000000"/>
                <w:kern w:val="0"/>
                <w:sz w:val="20"/>
                <w:szCs w:val="20"/>
                <w:lang w:eastAsia="eu-ES"/>
                <w14:ligatures w14:val="none"/>
              </w:rPr>
              <w:t>≥</w:t>
            </w:r>
            <w:r>
              <w:rPr>
                <w:rFonts w:eastAsia="Times New Roman" w:cs="Calibri Light"/>
                <w:color w:val="000000"/>
                <w:kern w:val="0"/>
                <w:sz w:val="20"/>
                <w:szCs w:val="20"/>
                <w:lang w:eastAsia="eu-ES"/>
                <w14:ligatures w14:val="none"/>
              </w:rPr>
              <w:t xml:space="preserve">10 pertsona </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r>
      <w:tr>
        <w:trPr>
          <w:trHeight w:val="300" w:hRule="atLeast"/>
        </w:trPr>
        <w:tc>
          <w:tcPr>
            <w:tcW w:w="1381"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6.452</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6.492</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6.859</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6.879</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6.921</w:t>
            </w:r>
          </w:p>
        </w:tc>
        <w:tc>
          <w:tcPr>
            <w:tcW w:w="95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6.950</w:t>
            </w:r>
          </w:p>
        </w:tc>
      </w:tr>
    </w:tbl>
    <w:p>
      <w:pPr>
        <w:pStyle w:val="Iturria"/>
        <w:rPr>
          <w:rStyle w:val="IturriaKar"/>
        </w:rPr>
      </w:pPr>
      <w:r>
        <w:rPr>
          <w:rStyle w:val="IturriaKar"/>
        </w:rPr>
        <w:t xml:space="preserve"> </w:t>
      </w:r>
      <w:r>
        <w:rPr>
          <w:rStyle w:val="IturriaKar"/>
        </w:rPr>
        <w:t>Iturria: Eustat.</w:t>
      </w:r>
    </w:p>
    <w:p>
      <w:pPr>
        <w:pStyle w:val="Normal"/>
        <w:jc w:val="both"/>
        <w:rPr/>
      </w:pPr>
      <w:r>
        <w:rPr/>
        <w:t xml:space="preserve">Etxebizitza parkearen antzinatasunari dagokionez, Pasaiako etxebizitza parkeak batez beste 57,8 urteko antzinatasuna du. Donostialdekoa (50,8), Gipuzkoakoa (49,1 urte) eta EAEkoaren (48,7 urte) gainetik dabil. Eustatek informazio hori barruti mailan eskaintzen ez badu ere, katastroaren ustiapenak agerian uzte du San Pedroko eta, bereziki, Donibaneko etxebizitza parkearen antzinatasuna gainerako eremuetakoa baino askoz ere handiagoa dela. Eraikin asko XX. mende baino lehen eraiki ziren (ikus </w:t>
      </w:r>
      <w:r>
        <w:rPr/>
        <w:fldChar w:fldCharType="begin"/>
      </w:r>
      <w:r>
        <w:rPr/>
        <w:instrText xml:space="preserve"> REF _Ref176949342 \h </w:instrText>
      </w:r>
      <w:r>
        <w:rPr/>
        <w:fldChar w:fldCharType="separate"/>
      </w:r>
      <w:r>
        <w:rPr/>
        <w:t>47. Grafikoa</w:t>
      </w:r>
      <w:r>
        <w:rPr/>
        <w:fldChar w:fldCharType="end"/>
      </w:r>
      <w:r>
        <w:rPr/>
        <w:t xml:space="preserve">, </w:t>
      </w:r>
      <w:r>
        <w:rPr/>
        <w:fldChar w:fldCharType="begin"/>
      </w:r>
      <w:r>
        <w:rPr/>
        <w:instrText xml:space="preserve"> REF _Ref190763719 \h </w:instrText>
      </w:r>
      <w:r>
        <w:rPr/>
        <w:fldChar w:fldCharType="separate"/>
      </w:r>
      <w:r>
        <w:rPr/>
        <w:t>5. Irudia</w:t>
      </w:r>
      <w:r>
        <w:rPr/>
        <w:fldChar w:fldCharType="end"/>
      </w:r>
      <w:r>
        <w:rPr/>
        <w:t xml:space="preserve"> eta </w:t>
      </w:r>
      <w:r>
        <w:rPr/>
        <w:fldChar w:fldCharType="begin"/>
      </w:r>
      <w:r>
        <w:rPr/>
        <w:instrText xml:space="preserve"> REF _Ref190763724 \h </w:instrText>
      </w:r>
      <w:r>
        <w:rPr/>
        <w:fldChar w:fldCharType="separate"/>
      </w:r>
      <w:r>
        <w:rPr/>
        <w:t>6. Irudia</w:t>
      </w:r>
      <w:r>
        <w:rPr/>
        <w:fldChar w:fldCharType="end"/>
      </w:r>
      <w:r>
        <w:rPr/>
        <w:t>).</w:t>
      </w:r>
    </w:p>
    <w:p>
      <w:pPr>
        <w:pStyle w:val="Normal"/>
        <w:jc w:val="both"/>
        <w:rPr/>
      </w:pPr>
      <w:r>
        <w:rPr/>
        <w:t xml:space="preserve">Antxon, Pasaian eta baita San Pedro auzoko barnealdean etxebizitza gehienak 50., 60. eta 70. Hamarkadan zehar eraiki ziren. Etxebizitzaren antzinatasunak bere irisgarritasuna eta bizigarritasuna baldintzatzen du, bereziki Pasaian (ikus </w:t>
      </w:r>
      <w:r>
        <w:rPr/>
        <w:fldChar w:fldCharType="begin"/>
      </w:r>
      <w:r>
        <w:rPr/>
        <w:instrText xml:space="preserve"> REF _Ref190763719 \h </w:instrText>
      </w:r>
      <w:r>
        <w:rPr/>
        <w:fldChar w:fldCharType="separate"/>
      </w:r>
      <w:r>
        <w:rPr/>
        <w:t>5. Irudia</w:t>
      </w:r>
      <w:r>
        <w:rPr/>
        <w:fldChar w:fldCharType="end"/>
      </w:r>
      <w:r>
        <w:rPr/>
        <w:t xml:space="preserve"> eta </w:t>
      </w:r>
      <w:r>
        <w:rPr/>
        <w:fldChar w:fldCharType="begin"/>
      </w:r>
      <w:r>
        <w:rPr/>
        <w:instrText xml:space="preserve"> REF _Ref190763724 \h </w:instrText>
      </w:r>
      <w:r>
        <w:rPr/>
        <w:fldChar w:fldCharType="separate"/>
      </w:r>
      <w:r>
        <w:rPr/>
        <w:t>6. Irudia</w:t>
      </w:r>
      <w:r>
        <w:rPr/>
        <w:fldChar w:fldCharType="end"/>
      </w:r>
      <w:r>
        <w:rPr/>
        <w:t xml:space="preserve">).  </w:t>
      </w:r>
    </w:p>
    <w:p>
      <w:pPr>
        <w:pStyle w:val="Normal"/>
        <w:jc w:val="both"/>
        <w:rPr/>
      </w:pPr>
      <w:r>
        <w:rPr/>
      </w:r>
    </w:p>
    <w:p>
      <w:pPr>
        <w:pStyle w:val="Iturria"/>
        <w:rPr>
          <w:rStyle w:val="IturriaKar"/>
        </w:rPr>
      </w:pPr>
      <w:r>
        <w:rPr/>
      </w:r>
    </w:p>
    <w:p>
      <w:pPr>
        <w:pStyle w:val="Caption"/>
        <w:rPr/>
      </w:pPr>
      <w:bookmarkStart w:id="194" w:name="_Toc191031121"/>
      <w:bookmarkStart w:id="195" w:name="_Toc176184648"/>
      <w:bookmarkStart w:id="196" w:name="_Toc175830310"/>
      <w:bookmarkStart w:id="197" w:name="_Ref176949342"/>
      <w:r>
        <w:rPr/>
        <w:fldChar w:fldCharType="begin"/>
      </w:r>
      <w:r>
        <w:rPr/>
        <w:instrText xml:space="preserve"> SEQ Grafikoa \* ARABIC </w:instrText>
      </w:r>
      <w:r>
        <w:rPr/>
        <w:fldChar w:fldCharType="separate"/>
      </w:r>
      <w:r>
        <w:rPr/>
        <w:t>47</w:t>
      </w:r>
      <w:r>
        <w:rPr/>
        <w:fldChar w:fldCharType="end"/>
      </w:r>
      <w:r>
        <w:rPr/>
        <w:t>. Grafikoa</w:t>
      </w:r>
      <w:bookmarkEnd w:id="197"/>
      <w:r>
        <w:rPr/>
        <w:t>: Familia etxebizitzen batez besteko antzinatasunaren bilakaera (urte).</w:t>
        <w:br/>
        <w:t>Pasaia eta bere testuingurua, 2010-2023</w:t>
      </w:r>
      <w:bookmarkEnd w:id="194"/>
      <w:bookmarkEnd w:id="195"/>
      <w:bookmarkEnd w:id="196"/>
    </w:p>
    <w:p>
      <w:pPr>
        <w:pStyle w:val="Iturria"/>
        <w:rPr>
          <w:rStyle w:val="IturriaKar"/>
        </w:rPr>
      </w:pPr>
      <w:r>
        <w:rPr/>
        <w:drawing>
          <wp:inline distT="0" distB="0" distL="0" distR="0">
            <wp:extent cx="5390515" cy="3200400"/>
            <wp:effectExtent l="0" t="0" r="0" b="0"/>
            <wp:docPr id="52" name="Imagen38" descr="Hau duen irudia testua, pantaila-argazkia, lerroa, Lurrazal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38" descr="Hau duen irudia testua, pantaila-argazkia, lerroa, Lurrazala&#10;&#10;Baliteke AAk sortutako edukia zuzena ez izatea."/>
                    <pic:cNvPicPr>
                      <a:picLocks noChangeAspect="1" noChangeArrowheads="1"/>
                    </pic:cNvPicPr>
                  </pic:nvPicPr>
                  <pic:blipFill>
                    <a:blip r:embed="rId53"/>
                    <a:stretch>
                      <a:fillRect/>
                    </a:stretch>
                  </pic:blipFill>
                  <pic:spPr bwMode="auto">
                    <a:xfrm>
                      <a:off x="0" y="0"/>
                      <a:ext cx="5390515" cy="3200400"/>
                    </a:xfrm>
                    <a:prstGeom prst="rect">
                      <a:avLst/>
                    </a:prstGeom>
                  </pic:spPr>
                </pic:pic>
              </a:graphicData>
            </a:graphic>
          </wp:inline>
        </w:drawing>
      </w:r>
      <w:r>
        <w:rPr>
          <w:rStyle w:val="2izenburuaKar"/>
        </w:rPr>
        <w:t xml:space="preserve"> </w:t>
      </w:r>
      <w:r>
        <w:rPr>
          <w:rStyle w:val="IturriaKar"/>
        </w:rPr>
        <w:t>Iturria: Eustat.</w:t>
      </w:r>
    </w:p>
    <w:p>
      <w:pPr>
        <w:pStyle w:val="Caption"/>
        <w:rPr/>
      </w:pPr>
      <w:bookmarkStart w:id="198" w:name="_Toc191031195"/>
      <w:bookmarkStart w:id="199" w:name="_Toc175830362"/>
      <w:bookmarkStart w:id="200" w:name="_Ref190763719"/>
      <w:r>
        <w:rPr/>
        <w:fldChar w:fldCharType="begin"/>
      </w:r>
      <w:r>
        <w:rPr/>
        <w:instrText xml:space="preserve"> SEQ Irudia \* ARABIC </w:instrText>
      </w:r>
      <w:r>
        <w:rPr/>
        <w:fldChar w:fldCharType="separate"/>
      </w:r>
      <w:r>
        <w:rPr/>
        <w:t>5</w:t>
      </w:r>
      <w:r>
        <w:rPr/>
        <w:fldChar w:fldCharType="end"/>
      </w:r>
      <w:r>
        <w:rPr/>
        <w:t>. Irudia</w:t>
      </w:r>
      <w:bookmarkEnd w:id="200"/>
      <w:r>
        <w:rPr/>
        <w:t>: Etxebizitzen eraikuntza urtearen mapa auzoaren arabera.</w:t>
        <w:br/>
        <w:t>Donibane, 202</w:t>
      </w:r>
      <w:bookmarkEnd w:id="199"/>
      <w:r>
        <w:rPr/>
        <w:t>5</w:t>
      </w:r>
      <w:bookmarkEnd w:id="198"/>
    </w:p>
    <w:p>
      <w:pPr>
        <w:pStyle w:val="Normal"/>
        <w:jc w:val="center"/>
        <w:rPr/>
      </w:pPr>
      <w:r>
        <w:rPr/>
        <w:drawing>
          <wp:inline distT="0" distB="0" distL="0" distR="0">
            <wp:extent cx="5195570" cy="3672205"/>
            <wp:effectExtent l="0" t="0" r="0" b="0"/>
            <wp:docPr id="53" name="Imagen39" descr="Hau duen irudia testua, mapa, atlas&#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39" descr="Hau duen irudia testua, mapa, atlas&#10;&#10;Baliteke AAk sortutako edukia zuzena ez izatea."/>
                    <pic:cNvPicPr>
                      <a:picLocks noChangeAspect="1" noChangeArrowheads="1"/>
                    </pic:cNvPicPr>
                  </pic:nvPicPr>
                  <pic:blipFill>
                    <a:blip r:embed="rId54"/>
                    <a:stretch>
                      <a:fillRect/>
                    </a:stretch>
                  </pic:blipFill>
                  <pic:spPr bwMode="auto">
                    <a:xfrm>
                      <a:off x="0" y="0"/>
                      <a:ext cx="5195570" cy="3672205"/>
                    </a:xfrm>
                    <a:prstGeom prst="rect">
                      <a:avLst/>
                    </a:prstGeom>
                  </pic:spPr>
                </pic:pic>
              </a:graphicData>
            </a:graphic>
          </wp:inline>
        </w:drawing>
      </w:r>
    </w:p>
    <w:p>
      <w:pPr>
        <w:pStyle w:val="Iturria"/>
        <w:rPr>
          <w:rStyle w:val="IturriaKar"/>
        </w:rPr>
      </w:pPr>
      <w:r>
        <w:rPr>
          <w:rStyle w:val="IturriaKar"/>
        </w:rPr>
        <w:t>Iturria: Gipuzkoako katastroa.</w:t>
      </w:r>
    </w:p>
    <w:p>
      <w:pPr>
        <w:pStyle w:val="Caption"/>
        <w:rPr/>
      </w:pPr>
      <w:bookmarkStart w:id="201" w:name="_Toc191031196"/>
      <w:bookmarkStart w:id="202" w:name="_Ref190763724"/>
      <w:r>
        <w:rPr/>
        <w:fldChar w:fldCharType="begin"/>
      </w:r>
      <w:r>
        <w:rPr/>
        <w:instrText xml:space="preserve"> SEQ Irudia \* ARABIC </w:instrText>
      </w:r>
      <w:r>
        <w:rPr/>
        <w:fldChar w:fldCharType="separate"/>
      </w:r>
      <w:r>
        <w:rPr/>
        <w:t>6</w:t>
      </w:r>
      <w:r>
        <w:rPr/>
        <w:fldChar w:fldCharType="end"/>
      </w:r>
      <w:r>
        <w:rPr/>
        <w:t>. Irudia</w:t>
      </w:r>
      <w:bookmarkEnd w:id="202"/>
      <w:r>
        <w:rPr/>
        <w:t>: Etxebizitzen eraikuntza urtearen mapa auzoaren arabera.</w:t>
        <w:br/>
        <w:t>San Pedro eta Trintxerpe, 2025</w:t>
      </w:r>
      <w:bookmarkEnd w:id="201"/>
    </w:p>
    <w:p>
      <w:pPr>
        <w:pStyle w:val="Normal"/>
        <w:jc w:val="center"/>
        <w:rPr/>
      </w:pPr>
      <w:r>
        <w:rPr/>
        <w:drawing>
          <wp:inline distT="0" distB="0" distL="0" distR="0">
            <wp:extent cx="5144770" cy="3636010"/>
            <wp:effectExtent l="0" t="0" r="0" b="0"/>
            <wp:docPr id="54" name="Imagen40" descr="Hau duen irudia mapa, testua, atlas, Plan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40" descr="Hau duen irudia mapa, testua, atlas, Plana&#10;&#10;Baliteke AAk sortutako edukia zuzena ez izatea."/>
                    <pic:cNvPicPr>
                      <a:picLocks noChangeAspect="1" noChangeArrowheads="1"/>
                    </pic:cNvPicPr>
                  </pic:nvPicPr>
                  <pic:blipFill>
                    <a:blip r:embed="rId55"/>
                    <a:stretch>
                      <a:fillRect/>
                    </a:stretch>
                  </pic:blipFill>
                  <pic:spPr bwMode="auto">
                    <a:xfrm>
                      <a:off x="0" y="0"/>
                      <a:ext cx="5144770" cy="3636010"/>
                    </a:xfrm>
                    <a:prstGeom prst="rect">
                      <a:avLst/>
                    </a:prstGeom>
                  </pic:spPr>
                </pic:pic>
              </a:graphicData>
            </a:graphic>
          </wp:inline>
        </w:drawing>
      </w:r>
    </w:p>
    <w:p>
      <w:pPr>
        <w:pStyle w:val="Iturria"/>
        <w:rPr>
          <w:rStyle w:val="IturriaKar"/>
        </w:rPr>
      </w:pPr>
      <w:r>
        <w:rPr>
          <w:rStyle w:val="IturriaKar"/>
        </w:rPr>
        <w:t>Iturria: Gipuzkoako katastroa.</w:t>
      </w:r>
    </w:p>
    <w:p>
      <w:pPr>
        <w:pStyle w:val="Caption"/>
        <w:rPr/>
      </w:pPr>
      <w:bookmarkStart w:id="203" w:name="_Toc191031197"/>
      <w:r>
        <w:rPr/>
        <w:fldChar w:fldCharType="begin"/>
      </w:r>
      <w:r>
        <w:rPr/>
        <w:instrText xml:space="preserve"> SEQ Irudia \* ARABIC </w:instrText>
      </w:r>
      <w:r>
        <w:rPr/>
        <w:fldChar w:fldCharType="separate"/>
      </w:r>
      <w:r>
        <w:rPr/>
        <w:t>7</w:t>
      </w:r>
      <w:r>
        <w:rPr/>
        <w:fldChar w:fldCharType="end"/>
      </w:r>
      <w:r>
        <w:rPr/>
        <w:t>. Irudia: Etxebizitzen eraikuntza urtearen mapa auzoaren arabera.</w:t>
        <w:br/>
        <w:t>Antxo, 2025</w:t>
      </w:r>
      <w:bookmarkEnd w:id="203"/>
    </w:p>
    <w:p>
      <w:pPr>
        <w:pStyle w:val="Normal"/>
        <w:jc w:val="center"/>
        <w:rPr/>
      </w:pPr>
      <w:r>
        <w:rPr/>
        <w:drawing>
          <wp:inline distT="0" distB="0" distL="0" distR="0">
            <wp:extent cx="5195570" cy="3672205"/>
            <wp:effectExtent l="0" t="0" r="0" b="0"/>
            <wp:docPr id="55" name="Imagen41" descr="Hau duen irudia mapa, testu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41" descr="Hau duen irudia mapa, testua&#10;&#10;Baliteke AAk sortutako edukia zuzena ez izatea."/>
                    <pic:cNvPicPr>
                      <a:picLocks noChangeAspect="1" noChangeArrowheads="1"/>
                    </pic:cNvPicPr>
                  </pic:nvPicPr>
                  <pic:blipFill>
                    <a:blip r:embed="rId56"/>
                    <a:stretch>
                      <a:fillRect/>
                    </a:stretch>
                  </pic:blipFill>
                  <pic:spPr bwMode="auto">
                    <a:xfrm>
                      <a:off x="0" y="0"/>
                      <a:ext cx="5195570" cy="3672205"/>
                    </a:xfrm>
                    <a:prstGeom prst="rect">
                      <a:avLst/>
                    </a:prstGeom>
                  </pic:spPr>
                </pic:pic>
              </a:graphicData>
            </a:graphic>
          </wp:inline>
        </w:drawing>
      </w:r>
    </w:p>
    <w:p>
      <w:pPr>
        <w:pStyle w:val="Iturria"/>
        <w:rPr>
          <w:rStyle w:val="IturriaKar"/>
        </w:rPr>
      </w:pPr>
      <w:r>
        <w:rPr>
          <w:rStyle w:val="IturriaKar"/>
        </w:rPr>
        <w:t>Iturria: Gipuzkoako katastroa.</w:t>
      </w:r>
    </w:p>
    <w:p>
      <w:pPr>
        <w:pStyle w:val="Normal"/>
        <w:jc w:val="both"/>
        <w:rPr/>
      </w:pPr>
      <w:r>
        <w:rPr/>
        <w:t>Halaber, etxebizitzen azalerari erreparatuz Pasaiako etxebizitza parkearen batez besteko azalera 72,4m</w:t>
      </w:r>
      <w:r>
        <w:rPr>
          <w:vertAlign w:val="superscript"/>
        </w:rPr>
        <w:t>2</w:t>
      </w:r>
      <w:r>
        <w:rPr/>
        <w:t>-koa da, Donostialdekoa (83,7m</w:t>
      </w:r>
      <w:r>
        <w:rPr>
          <w:vertAlign w:val="superscript"/>
        </w:rPr>
        <w:t>2</w:t>
      </w:r>
      <w:r>
        <w:rPr/>
        <w:t>), Gipuzkoa (87,0m</w:t>
      </w:r>
      <w:r>
        <w:rPr>
          <w:vertAlign w:val="superscript"/>
        </w:rPr>
        <w:t>2</w:t>
      </w:r>
      <w:r>
        <w:rPr/>
        <w:t>) zein EAEn (87,5m</w:t>
      </w:r>
      <w:r>
        <w:rPr>
          <w:vertAlign w:val="superscript"/>
        </w:rPr>
        <w:t>2</w:t>
      </w:r>
      <w:r>
        <w:rPr/>
        <w:t>) baino 10-15m</w:t>
      </w:r>
      <w:r>
        <w:rPr>
          <w:vertAlign w:val="superscript"/>
        </w:rPr>
        <w:t xml:space="preserve">2 </w:t>
      </w:r>
      <w:r>
        <w:rPr/>
        <w:t>azpitik. Ez da auzo mailako etxebizitzen batez besteko daturik eskuratu, baina bai azalera tarteen araberako informazioa. Datu horien arabera Trintxerpe (%31,0), Donibanen (%29,4) eta San Pedron (%24,6) 60m</w:t>
      </w:r>
      <w:r>
        <w:rPr>
          <w:vertAlign w:val="superscript"/>
        </w:rPr>
        <w:t>2</w:t>
      </w:r>
      <w:r>
        <w:rPr/>
        <w:t>-tik beherako etxebizitzen ehunekoa handia da, ez horrenbeste Antxon (%18,9). Bide horretan, 90m</w:t>
      </w:r>
      <w:r>
        <w:rPr>
          <w:vertAlign w:val="superscript"/>
        </w:rPr>
        <w:t>2</w:t>
      </w:r>
      <w:r>
        <w:rPr/>
        <w:t xml:space="preserve">-tik gorako etxebizitza proportzio handiena Donibanek (%17,9), eta Antxok (%11,8) dute. San Pedron (%8,5) eta Trintxerpen (%4,2), bereziki, tamaina ertain-handiko etxebizitzen ehunekoa oso txikia da (ikus </w:t>
      </w:r>
      <w:r>
        <w:rPr/>
        <w:fldChar w:fldCharType="begin"/>
      </w:r>
      <w:r>
        <w:rPr/>
        <w:instrText xml:space="preserve"> REF _Ref176949350 \h </w:instrText>
      </w:r>
      <w:r>
        <w:rPr/>
        <w:fldChar w:fldCharType="separate"/>
      </w:r>
      <w:r>
        <w:rPr/>
        <w:t>48. Grafikoa</w:t>
      </w:r>
      <w:r>
        <w:rPr/>
        <w:fldChar w:fldCharType="end"/>
      </w:r>
      <w:r>
        <w:rPr/>
        <w:t xml:space="preserve"> eta </w:t>
      </w:r>
      <w:r>
        <w:rPr/>
        <w:fldChar w:fldCharType="begin"/>
      </w:r>
      <w:r>
        <w:rPr/>
        <w:instrText xml:space="preserve"> REF _Ref190767849 \h </w:instrText>
      </w:r>
      <w:r>
        <w:rPr/>
        <w:fldChar w:fldCharType="separate"/>
      </w:r>
      <w:r>
        <w:rPr/>
        <w:t>25. Taula</w:t>
      </w:r>
      <w:r>
        <w:rPr/>
        <w:fldChar w:fldCharType="end"/>
      </w:r>
      <w:r>
        <w:rPr/>
        <w:t xml:space="preserve">). </w:t>
      </w:r>
    </w:p>
    <w:p>
      <w:pPr>
        <w:pStyle w:val="Caption"/>
        <w:rPr/>
      </w:pPr>
      <w:bookmarkStart w:id="204" w:name="_Toc191031122"/>
      <w:bookmarkStart w:id="205" w:name="_Toc176184649"/>
      <w:bookmarkStart w:id="206" w:name="_Toc175830311"/>
      <w:bookmarkStart w:id="207" w:name="_Ref176949350"/>
      <w:r>
        <w:rPr/>
        <w:fldChar w:fldCharType="begin"/>
      </w:r>
      <w:r>
        <w:rPr/>
        <w:instrText xml:space="preserve"> SEQ Grafikoa \* ARABIC </w:instrText>
      </w:r>
      <w:r>
        <w:rPr/>
        <w:fldChar w:fldCharType="separate"/>
      </w:r>
      <w:r>
        <w:rPr/>
        <w:t>48</w:t>
      </w:r>
      <w:r>
        <w:rPr/>
        <w:fldChar w:fldCharType="end"/>
      </w:r>
      <w:r>
        <w:rPr/>
        <w:t>. Grafikoa</w:t>
      </w:r>
      <w:bookmarkEnd w:id="207"/>
      <w:r>
        <w:rPr/>
        <w:t>: Familia etxebizitzen batez besteko azaleraren bilakaera (m</w:t>
      </w:r>
      <w:r>
        <w:rPr>
          <w:vertAlign w:val="superscript"/>
        </w:rPr>
        <w:t>2</w:t>
      </w:r>
      <w:r>
        <w:rPr/>
        <w:t>).</w:t>
        <w:br/>
        <w:t>Pasaia eta bere testuingurua, 2010-2023</w:t>
      </w:r>
      <w:bookmarkEnd w:id="204"/>
      <w:bookmarkEnd w:id="205"/>
      <w:bookmarkEnd w:id="206"/>
    </w:p>
    <w:p>
      <w:pPr>
        <w:pStyle w:val="Normal"/>
        <w:jc w:val="right"/>
        <w:rPr>
          <w:rStyle w:val="IturriaKar"/>
        </w:rPr>
      </w:pPr>
      <w:r>
        <w:rPr/>
        <w:drawing>
          <wp:inline distT="0" distB="0" distL="0" distR="0">
            <wp:extent cx="5390515" cy="3200400"/>
            <wp:effectExtent l="0" t="0" r="0" b="0"/>
            <wp:docPr id="56" name="Imagen42" descr="Hau duen irudia testua, pantaila-argazkia, lerroa, Lurrazal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42" descr="Hau duen irudia testua, pantaila-argazkia, lerroa, Lurrazala&#10;&#10;Baliteke AAk sortutako edukia zuzena ez izatea."/>
                    <pic:cNvPicPr>
                      <a:picLocks noChangeAspect="1" noChangeArrowheads="1"/>
                    </pic:cNvPicPr>
                  </pic:nvPicPr>
                  <pic:blipFill>
                    <a:blip r:embed="rId57"/>
                    <a:stretch>
                      <a:fillRect/>
                    </a:stretch>
                  </pic:blipFill>
                  <pic:spPr bwMode="auto">
                    <a:xfrm>
                      <a:off x="0" y="0"/>
                      <a:ext cx="5390515" cy="3200400"/>
                    </a:xfrm>
                    <a:prstGeom prst="rect">
                      <a:avLst/>
                    </a:prstGeom>
                  </pic:spPr>
                </pic:pic>
              </a:graphicData>
            </a:graphic>
          </wp:inline>
        </w:drawing>
      </w:r>
      <w:r>
        <w:rPr>
          <w:rStyle w:val="IturriaKar"/>
        </w:rPr>
        <w:t xml:space="preserve"> </w:t>
      </w:r>
      <w:r>
        <w:rPr>
          <w:rStyle w:val="IturriaKar"/>
        </w:rPr>
        <w:t>Iturria: Eustat.</w:t>
      </w:r>
    </w:p>
    <w:p>
      <w:pPr>
        <w:pStyle w:val="Normal"/>
        <w:jc w:val="right"/>
        <w:rPr>
          <w:rStyle w:val="IturriaKar"/>
        </w:rPr>
      </w:pPr>
      <w:r>
        <w:rPr/>
      </w:r>
    </w:p>
    <w:p>
      <w:pPr>
        <w:pStyle w:val="Caption"/>
        <w:rPr>
          <w:rStyle w:val="IturriaKar"/>
        </w:rPr>
      </w:pPr>
      <w:bookmarkStart w:id="208" w:name="_Toc191031168"/>
      <w:bookmarkStart w:id="209" w:name="_Ref190767849"/>
      <w:r>
        <w:rPr/>
        <w:fldChar w:fldCharType="begin"/>
      </w:r>
      <w:r>
        <w:rPr/>
        <w:instrText xml:space="preserve"> SEQ Taula \* ARABIC </w:instrText>
      </w:r>
      <w:r>
        <w:rPr/>
        <w:fldChar w:fldCharType="separate"/>
      </w:r>
      <w:r>
        <w:rPr/>
        <w:t>25</w:t>
      </w:r>
      <w:r>
        <w:rPr/>
        <w:fldChar w:fldCharType="end"/>
      </w:r>
      <w:r>
        <w:rPr/>
        <w:t>. Taula</w:t>
      </w:r>
      <w:bookmarkEnd w:id="209"/>
      <w:r>
        <w:rPr/>
        <w:t>: Etxebizitza parkea azaleraren eta auzoaren arabera (kop.)</w:t>
      </w:r>
      <w:r>
        <w:rPr>
          <w:rStyle w:val="Ancladenotaalpie"/>
        </w:rPr>
        <w:footnoteReference w:id="10"/>
      </w:r>
      <w:r>
        <w:rPr/>
        <w:t>.</w:t>
        <w:br/>
        <w:t>Pasaia, 2023</w:t>
      </w:r>
      <w:bookmarkEnd w:id="208"/>
    </w:p>
    <w:tbl>
      <w:tblPr>
        <w:tblW w:w="836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76"/>
        <w:gridCol w:w="1218"/>
        <w:gridCol w:w="1134"/>
        <w:gridCol w:w="1134"/>
        <w:gridCol w:w="1133"/>
        <w:gridCol w:w="1134"/>
        <w:gridCol w:w="1134"/>
      </w:tblGrid>
      <w:tr>
        <w:trPr>
          <w:trHeight w:val="300" w:hRule="atLeast"/>
        </w:trPr>
        <w:tc>
          <w:tcPr>
            <w:tcW w:w="147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218"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ascii="Aptos Narrow" w:hAnsi="Aptos Narrow"/>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60m</w:t>
            </w:r>
            <w:r>
              <w:rPr>
                <w:rFonts w:eastAsia="Times New Roman" w:cs="Calibri Light"/>
                <w:b/>
                <w:bCs/>
                <w:color w:val="FFFFFF"/>
                <w:kern w:val="0"/>
                <w:sz w:val="20"/>
                <w:szCs w:val="20"/>
                <w:vertAlign w:val="superscript"/>
                <w:lang w:eastAsia="eu-ES"/>
                <w14:ligatures w14:val="none"/>
              </w:rPr>
              <w:t>2</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61-90m</w:t>
            </w:r>
            <w:r>
              <w:rPr>
                <w:rFonts w:eastAsia="Times New Roman" w:cs="Calibri Light"/>
                <w:b/>
                <w:bCs/>
                <w:color w:val="FFFFFF"/>
                <w:kern w:val="0"/>
                <w:sz w:val="20"/>
                <w:szCs w:val="20"/>
                <w:vertAlign w:val="superscript"/>
                <w:lang w:eastAsia="eu-ES"/>
                <w14:ligatures w14:val="none"/>
              </w:rPr>
              <w:t>2</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91-120m</w:t>
            </w:r>
            <w:r>
              <w:rPr>
                <w:rFonts w:eastAsia="Times New Roman" w:cs="Calibri Light"/>
                <w:b/>
                <w:bCs/>
                <w:color w:val="FFFFFF"/>
                <w:kern w:val="0"/>
                <w:sz w:val="20"/>
                <w:szCs w:val="20"/>
                <w:vertAlign w:val="superscript"/>
                <w:lang w:eastAsia="eu-ES"/>
                <w14:ligatures w14:val="none"/>
              </w:rPr>
              <w:t>2</w:t>
            </w:r>
          </w:p>
        </w:tc>
        <w:tc>
          <w:tcPr>
            <w:tcW w:w="113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121-150m</w:t>
            </w:r>
            <w:r>
              <w:rPr>
                <w:rFonts w:eastAsia="Times New Roman" w:cs="Calibri Light"/>
                <w:b/>
                <w:bCs/>
                <w:color w:val="FFFFFF"/>
                <w:kern w:val="0"/>
                <w:sz w:val="20"/>
                <w:szCs w:val="20"/>
                <w:vertAlign w:val="superscript"/>
                <w:lang w:eastAsia="eu-ES"/>
                <w14:ligatures w14:val="none"/>
              </w:rPr>
              <w:t>2</w:t>
            </w:r>
          </w:p>
        </w:tc>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ascii="Aptos Narrow" w:hAnsi="Aptos Narrow"/>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151m</w:t>
            </w:r>
            <w:r>
              <w:rPr>
                <w:rFonts w:eastAsia="Times New Roman" w:cs="Calibri Light"/>
                <w:b/>
                <w:bCs/>
                <w:color w:val="FFFFFF"/>
                <w:kern w:val="0"/>
                <w:sz w:val="20"/>
                <w:szCs w:val="20"/>
                <w:vertAlign w:val="superscript"/>
                <w:lang w:eastAsia="eu-ES"/>
                <w14:ligatures w14:val="none"/>
              </w:rPr>
              <w:t>2</w:t>
            </w:r>
          </w:p>
        </w:tc>
        <w:tc>
          <w:tcPr>
            <w:tcW w:w="1134"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4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2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465</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1.706</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258</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2.462</w:t>
            </w:r>
          </w:p>
        </w:tc>
      </w:tr>
      <w:tr>
        <w:trPr>
          <w:trHeight w:val="300" w:hRule="atLeast"/>
        </w:trPr>
        <w:tc>
          <w:tcPr>
            <w:tcW w:w="14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2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324</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581</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171</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1.102</w:t>
            </w:r>
          </w:p>
        </w:tc>
      </w:tr>
      <w:tr>
        <w:trPr>
          <w:trHeight w:val="300" w:hRule="atLeast"/>
        </w:trPr>
        <w:tc>
          <w:tcPr>
            <w:tcW w:w="14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2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356</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968</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1.447</w:t>
            </w:r>
          </w:p>
        </w:tc>
      </w:tr>
      <w:tr>
        <w:trPr>
          <w:trHeight w:val="300" w:hRule="atLeast"/>
        </w:trPr>
        <w:tc>
          <w:tcPr>
            <w:tcW w:w="147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218"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833</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1.737</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99</w:t>
            </w:r>
          </w:p>
        </w:tc>
        <w:tc>
          <w:tcPr>
            <w:tcW w:w="1133"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w:t>
            </w:r>
          </w:p>
        </w:tc>
        <w:tc>
          <w:tcPr>
            <w:tcW w:w="113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1134"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2.684</w:t>
            </w:r>
          </w:p>
        </w:tc>
      </w:tr>
      <w:tr>
        <w:trPr>
          <w:trHeight w:val="300" w:hRule="atLeast"/>
        </w:trPr>
        <w:tc>
          <w:tcPr>
            <w:tcW w:w="1476"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218"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1.978</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4.992</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614</w:t>
            </w:r>
          </w:p>
        </w:tc>
        <w:tc>
          <w:tcPr>
            <w:tcW w:w="1133"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75</w:t>
            </w:r>
          </w:p>
        </w:tc>
        <w:tc>
          <w:tcPr>
            <w:tcW w:w="113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36</w:t>
            </w:r>
          </w:p>
        </w:tc>
        <w:tc>
          <w:tcPr>
            <w:tcW w:w="1134"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7.695</w:t>
            </w:r>
          </w:p>
        </w:tc>
      </w:tr>
    </w:tbl>
    <w:p>
      <w:pPr>
        <w:pStyle w:val="Normal"/>
        <w:jc w:val="right"/>
        <w:rPr>
          <w:rStyle w:val="IturriaKar"/>
        </w:rPr>
      </w:pPr>
      <w:r>
        <w:rPr>
          <w:rStyle w:val="IturriaKar"/>
        </w:rPr>
        <w:t>Iturria: Eustat.</w:t>
      </w:r>
    </w:p>
    <w:p>
      <w:pPr>
        <w:pStyle w:val="Normal"/>
        <w:jc w:val="both"/>
        <w:rPr/>
      </w:pPr>
      <w:r>
        <w:rPr/>
        <w:t xml:space="preserve">Irisgarritasunari dagokionez, udalerriko etxebizitzen %73,7ak igogailua du, Donostialdeak (%77,9) baino 4,2 puntu gutxiago. Nagusiki urbanoa den eremu batean etxebizitza askoren irisgarritasuna mugatua izan daiteke. Gainera, Pasaiaren ezaugarri urbanistikoek hainbat eremuren irisgarritasuna mugatzen dute: aldapa, eskailerak edota kale estuak, esaterako (ikus </w:t>
      </w:r>
      <w:r>
        <w:rPr/>
        <w:fldChar w:fldCharType="begin"/>
      </w:r>
      <w:r>
        <w:rPr/>
        <w:instrText xml:space="preserve"> REF _Ref176949359 \h </w:instrText>
      </w:r>
      <w:r>
        <w:rPr/>
        <w:fldChar w:fldCharType="separate"/>
      </w:r>
      <w:r>
        <w:rPr/>
        <w:t>49. Grafikoa</w:t>
      </w:r>
      <w:r>
        <w:rPr/>
        <w:fldChar w:fldCharType="end"/>
      </w:r>
      <w:r>
        <w:rPr/>
        <w:t>).</w:t>
      </w:r>
      <w:r>
        <w:br w:type="page"/>
      </w:r>
    </w:p>
    <w:p>
      <w:pPr>
        <w:pStyle w:val="Caption"/>
        <w:rPr/>
      </w:pPr>
      <w:bookmarkStart w:id="210" w:name="_Toc191031123"/>
      <w:bookmarkStart w:id="211" w:name="_Toc176184650"/>
      <w:bookmarkStart w:id="212" w:name="_Toc175830312"/>
      <w:bookmarkStart w:id="213" w:name="_Ref176949359"/>
      <w:r>
        <w:rPr/>
        <w:fldChar w:fldCharType="begin"/>
      </w:r>
      <w:r>
        <w:rPr/>
        <w:instrText xml:space="preserve"> SEQ Grafikoa \* ARABIC </w:instrText>
      </w:r>
      <w:r>
        <w:rPr/>
        <w:fldChar w:fldCharType="separate"/>
      </w:r>
      <w:r>
        <w:rPr/>
        <w:t>49</w:t>
      </w:r>
      <w:r>
        <w:rPr/>
        <w:fldChar w:fldCharType="end"/>
      </w:r>
      <w:r>
        <w:rPr/>
        <w:t>. Grafikoa</w:t>
      </w:r>
      <w:bookmarkEnd w:id="213"/>
      <w:r>
        <w:rPr/>
        <w:t>: Igogailua duten familia etxebizitzen tasaren bilakaera (%).</w:t>
        <w:br/>
        <w:t>Pasaia eta bere testuingurua, 2010-2023</w:t>
      </w:r>
      <w:bookmarkEnd w:id="210"/>
      <w:bookmarkEnd w:id="211"/>
      <w:bookmarkEnd w:id="212"/>
    </w:p>
    <w:p>
      <w:pPr>
        <w:pStyle w:val="Normal"/>
        <w:rPr/>
      </w:pPr>
      <w:r>
        <w:rPr/>
        <w:drawing>
          <wp:inline distT="0" distB="0" distL="0" distR="0">
            <wp:extent cx="5390515" cy="3200400"/>
            <wp:effectExtent l="0" t="0" r="0" b="0"/>
            <wp:docPr id="57" name="Imagen43" descr="Hau duen irudia testua, pantaila-argazkia, Lurrazal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43" descr="Hau duen irudia testua, pantaila-argazkia, Lurrazala, lerroa&#10;&#10;Baliteke AAk sortutako edukia zuzena ez izatea."/>
                    <pic:cNvPicPr>
                      <a:picLocks noChangeAspect="1" noChangeArrowheads="1"/>
                    </pic:cNvPicPr>
                  </pic:nvPicPr>
                  <pic:blipFill>
                    <a:blip r:embed="rId58"/>
                    <a:stretch>
                      <a:fillRect/>
                    </a:stretch>
                  </pic:blipFill>
                  <pic:spPr bwMode="auto">
                    <a:xfrm>
                      <a:off x="0" y="0"/>
                      <a:ext cx="5390515" cy="3200400"/>
                    </a:xfrm>
                    <a:prstGeom prst="rect">
                      <a:avLst/>
                    </a:prstGeom>
                  </pic:spPr>
                </pic:pic>
              </a:graphicData>
            </a:graphic>
          </wp:inline>
        </w:drawing>
      </w:r>
    </w:p>
    <w:p>
      <w:pPr>
        <w:pStyle w:val="Iturria"/>
        <w:rPr>
          <w:rStyle w:val="IturriaKar"/>
        </w:rPr>
      </w:pPr>
      <w:r>
        <w:rPr>
          <w:rStyle w:val="IturriaKar"/>
        </w:rPr>
        <w:t>Iturria: Eustat.</w:t>
      </w:r>
    </w:p>
    <w:p>
      <w:pPr>
        <w:pStyle w:val="Normal"/>
        <w:rPr>
          <w:rStyle w:val="IturriaKar"/>
        </w:rPr>
      </w:pPr>
      <w:r>
        <w:rPr/>
      </w:r>
      <w:r>
        <w:br w:type="page"/>
      </w:r>
    </w:p>
    <w:p>
      <w:pPr>
        <w:pStyle w:val="Ttulo2"/>
        <w:rPr/>
      </w:pPr>
      <w:bookmarkStart w:id="214" w:name="_Toc191031052"/>
      <w:bookmarkStart w:id="215" w:name="_Toc175830256"/>
      <w:r>
        <w:rPr/>
        <w:t>Erabilera-maila</w:t>
      </w:r>
      <w:bookmarkEnd w:id="214"/>
      <w:bookmarkEnd w:id="215"/>
    </w:p>
    <w:p>
      <w:pPr>
        <w:pStyle w:val="Normal"/>
        <w:jc w:val="both"/>
        <w:rPr/>
      </w:pPr>
      <w:r>
        <w:rPr/>
        <w:t xml:space="preserve">Eustaten datuen arabera etxebizitza nagusiak ez direnen tasa Donostialdean (%13,3), Gipuzkoan (%14,5) edota EAEn (%14,4) baino baxuagoa da Pasaian (%9,7). Datu horrek erakusten du udalerrian dagoeneko etxebizitza parkeak erabilera maila intentsibo bat duela, erabilera egonkorra ez duten etxebizitzen proportzioa ohikoa baino txikiagoa baita. Etxebizitza nagusi ez direnen multzoa bigarren etxebizitzek, etxebizitza hutsek edota etxebizitza turistikoek osatzen dute (ikus </w:t>
      </w:r>
      <w:r>
        <w:rPr/>
        <w:fldChar w:fldCharType="begin"/>
      </w:r>
      <w:r>
        <w:rPr/>
        <w:instrText xml:space="preserve"> REF _Ref176949388 \h </w:instrText>
      </w:r>
      <w:r>
        <w:rPr/>
        <w:fldChar w:fldCharType="separate"/>
      </w:r>
      <w:r>
        <w:rPr/>
        <w:t>50. Grafikoa</w:t>
      </w:r>
      <w:r>
        <w:rPr/>
        <w:fldChar w:fldCharType="end"/>
      </w:r>
      <w:r>
        <w:rPr/>
        <w:t>).</w:t>
      </w:r>
    </w:p>
    <w:p>
      <w:pPr>
        <w:pStyle w:val="Caption"/>
        <w:rPr/>
      </w:pPr>
      <w:bookmarkStart w:id="216" w:name="_Toc191031124"/>
      <w:bookmarkStart w:id="217" w:name="_Toc176184651"/>
      <w:bookmarkStart w:id="218" w:name="_Toc175830313"/>
      <w:bookmarkStart w:id="219" w:name="_Ref176949388"/>
      <w:r>
        <w:rPr/>
        <w:fldChar w:fldCharType="begin"/>
      </w:r>
      <w:r>
        <w:rPr/>
        <w:instrText xml:space="preserve"> SEQ Grafikoa \* ARABIC </w:instrText>
      </w:r>
      <w:r>
        <w:rPr/>
        <w:fldChar w:fldCharType="separate"/>
      </w:r>
      <w:r>
        <w:rPr/>
        <w:t>50</w:t>
      </w:r>
      <w:r>
        <w:rPr/>
        <w:fldChar w:fldCharType="end"/>
      </w:r>
      <w:r>
        <w:rPr/>
        <w:t>. Grafikoa</w:t>
      </w:r>
      <w:bookmarkEnd w:id="219"/>
      <w:r>
        <w:rPr/>
        <w:t>: Etxebizitza ez-nagusien tasaren bilakaera (%).</w:t>
        <w:br/>
        <w:t>Pasaia, 2010-2023</w:t>
      </w:r>
      <w:bookmarkEnd w:id="216"/>
      <w:bookmarkEnd w:id="217"/>
      <w:bookmarkEnd w:id="218"/>
    </w:p>
    <w:p>
      <w:pPr>
        <w:pStyle w:val="Normal"/>
        <w:jc w:val="right"/>
        <w:rPr>
          <w:rStyle w:val="IturriaKar"/>
        </w:rPr>
      </w:pPr>
      <w:r>
        <w:rPr/>
        <w:drawing>
          <wp:inline distT="0" distB="0" distL="0" distR="0">
            <wp:extent cx="5390515" cy="3200400"/>
            <wp:effectExtent l="0" t="0" r="0" b="0"/>
            <wp:docPr id="58" name="Imagen44" descr="Hau duen irudia testua, Lurrazala, pantaila-argazki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44" descr="Hau duen irudia testua, Lurrazala, pantaila-argazkia, lerroa&#10;&#10;Baliteke AAk sortutako edukia zuzena ez izatea."/>
                    <pic:cNvPicPr>
                      <a:picLocks noChangeAspect="1" noChangeArrowheads="1"/>
                    </pic:cNvPicPr>
                  </pic:nvPicPr>
                  <pic:blipFill>
                    <a:blip r:embed="rId59"/>
                    <a:stretch>
                      <a:fillRect/>
                    </a:stretch>
                  </pic:blipFill>
                  <pic:spPr bwMode="auto">
                    <a:xfrm>
                      <a:off x="0" y="0"/>
                      <a:ext cx="5390515" cy="3200400"/>
                    </a:xfrm>
                    <a:prstGeom prst="rect">
                      <a:avLst/>
                    </a:prstGeom>
                  </pic:spPr>
                </pic:pic>
              </a:graphicData>
            </a:graphic>
          </wp:inline>
        </w:drawing>
      </w:r>
      <w:r>
        <w:rPr>
          <w:rStyle w:val="IturriaKar"/>
        </w:rPr>
        <w:t>Iturria: Eustat.</w:t>
      </w:r>
    </w:p>
    <w:p>
      <w:pPr>
        <w:pStyle w:val="Normal"/>
        <w:jc w:val="right"/>
        <w:rPr>
          <w:rStyle w:val="IturriaKar"/>
        </w:rPr>
      </w:pPr>
      <w:r>
        <w:rPr/>
      </w:r>
    </w:p>
    <w:p>
      <w:pPr>
        <w:pStyle w:val="Normal"/>
        <w:jc w:val="both"/>
        <w:rPr/>
      </w:pPr>
      <w:r>
        <w:rPr/>
        <w:t>Etxebizitzaren erabilera-maila xehetasunez aztertzeko Pasaiako biztanleria-errolda eta etxebizitza-erroldaren datu baseak ustiatu dira. Horiek horrela, azterlanerako etxebizitzen ondorengo erabilera kategoriak baliatu dira: erroldaturik gabeko etxebizitzak eta erroldatuak dituzten etxebizitzak bereiztu dira, alegia. Aintzat hartu behar da Pasaiako Udalaren datu baseen arabera etxebizitza parkea Eustaten datu estatistikoak zehazten duena baino handiagoa dela: 7.908 etxebizitza.</w:t>
      </w:r>
    </w:p>
    <w:p>
      <w:pPr>
        <w:pStyle w:val="Normal"/>
        <w:jc w:val="both"/>
        <w:rPr/>
      </w:pPr>
      <w:r>
        <w:rPr/>
        <w:t xml:space="preserve">Irizpide horietan oinarrituz </w:t>
      </w:r>
      <w:bookmarkStart w:id="220" w:name="_Hlk190863504"/>
      <w:r>
        <w:rPr/>
        <w:t>Pasaian 856 etxebizitza (%10,8) inor erroldaturik gabe daude, etxebizitza hutsen indize estrukturalaren pare</w:t>
      </w:r>
      <w:bookmarkEnd w:id="220"/>
      <w:r>
        <w:rPr/>
        <w:t xml:space="preserve">. Edonola ere, datu hauek INEk etxebizitza hutsak bestelako metodologiak erabiliz kalkulatu eta argitaratzen duen datuen arabera Pasaiako etxebizitza hutsen tasa %7,1a da. Iturri honi jarraituz gero (INE) Pasaiako etxebizitza parkeak duen erabilera-maila Gipuzkoako (%7,1) eta EAEkoaren (%6,5)  batez bestekoaren pare dagoela ikusi daiteke (INE, 2023) (ikus </w:t>
      </w:r>
      <w:r>
        <w:rPr/>
        <w:fldChar w:fldCharType="begin"/>
      </w:r>
      <w:r>
        <w:rPr/>
        <w:instrText xml:space="preserve"> REF _Ref176949405 \h </w:instrText>
      </w:r>
      <w:r>
        <w:rPr/>
        <w:fldChar w:fldCharType="separate"/>
      </w:r>
      <w:r>
        <w:rPr/>
        <w:t>51. Grafikoa</w:t>
      </w:r>
      <w:r>
        <w:rPr/>
        <w:fldChar w:fldCharType="end"/>
      </w:r>
      <w:r>
        <w:rPr/>
        <w:t xml:space="preserve"> eta </w:t>
      </w:r>
      <w:r>
        <w:rPr/>
        <w:fldChar w:fldCharType="begin"/>
      </w:r>
      <w:r>
        <w:rPr/>
        <w:instrText xml:space="preserve"> REF _Ref182933063 \h </w:instrText>
      </w:r>
      <w:r>
        <w:rPr/>
        <w:fldChar w:fldCharType="separate"/>
      </w:r>
      <w:r>
        <w:rPr/>
        <w:t>26. Taula</w:t>
      </w:r>
      <w:r>
        <w:rPr/>
        <w:fldChar w:fldCharType="end"/>
      </w:r>
      <w:r>
        <w:rPr/>
        <w:t xml:space="preserve">).  </w:t>
      </w:r>
    </w:p>
    <w:p>
      <w:pPr>
        <w:pStyle w:val="Normal"/>
        <w:jc w:val="both"/>
        <w:rPr>
          <w:rStyle w:val="IturriaKar"/>
        </w:rPr>
      </w:pPr>
      <w:r>
        <w:rPr/>
        <w:t xml:space="preserve">Bide horretan, udalerriko etxebizitza parkearen erabilera-mailak </w:t>
      </w:r>
      <w:bookmarkStart w:id="221" w:name="_Hlk190863579"/>
      <w:r>
        <w:rPr/>
        <w:t xml:space="preserve">barrutiaren arabera gorabehera handiak dituela azpimarratu behar da. </w:t>
      </w:r>
      <w:bookmarkStart w:id="222" w:name="_Hlk177027819"/>
      <w:r>
        <w:rPr/>
        <w:t xml:space="preserve">Inor erroldatu gabeko etxeen proportzioa altuena Donibanen dago (%15,9) eta segidan datoz San Pedro (%11,8), Antxo (%9,8) eta Trintxerpe (%9,1). </w:t>
      </w:r>
      <w:bookmarkEnd w:id="221"/>
      <w:r>
        <w:rPr/>
        <w:t xml:space="preserve">Indizeei erreparatuz, Donibane da inor erroldatu gabeko etxebizitza proportzio altuena duena (179 etxebizitza), maila estrukturaletik bost puntu gorago. Gainerakoak maila estrukturalean edo horren azpitik dabiltza. Nolanahi ere, etxebizitza hutsen bero mapan argi ikusten da Antxon dagoela inor erroldaturik gabeko etxebizitzen kontzentraziorik handiena </w:t>
      </w:r>
      <w:bookmarkEnd w:id="222"/>
      <w:r>
        <w:rPr/>
        <w:t xml:space="preserve">(ikus  </w:t>
      </w:r>
      <w:r>
        <w:rPr/>
        <w:fldChar w:fldCharType="begin"/>
      </w:r>
      <w:r>
        <w:rPr/>
        <w:instrText xml:space="preserve"> REF _Ref176949405 \h </w:instrText>
      </w:r>
      <w:r>
        <w:rPr/>
        <w:fldChar w:fldCharType="separate"/>
      </w:r>
      <w:r>
        <w:rPr/>
        <w:t>51. Grafikoa</w:t>
      </w:r>
      <w:r>
        <w:rPr/>
        <w:fldChar w:fldCharType="end"/>
      </w:r>
      <w:r>
        <w:rPr/>
        <w:t xml:space="preserve">, </w:t>
      </w:r>
      <w:r>
        <w:rPr/>
        <w:fldChar w:fldCharType="begin"/>
      </w:r>
      <w:r>
        <w:rPr/>
        <w:instrText xml:space="preserve"> REF _Ref182933063 \h </w:instrText>
      </w:r>
      <w:r>
        <w:rPr/>
        <w:fldChar w:fldCharType="separate"/>
      </w:r>
      <w:r>
        <w:rPr/>
        <w:t>26. Taula</w:t>
      </w:r>
      <w:r>
        <w:rPr/>
        <w:fldChar w:fldCharType="end"/>
      </w:r>
      <w:r>
        <w:rPr/>
        <w:t xml:space="preserve"> eta </w:t>
      </w:r>
      <w:r>
        <w:rPr/>
        <w:fldChar w:fldCharType="begin"/>
      </w:r>
      <w:r>
        <w:rPr/>
        <w:instrText xml:space="preserve"> REF _Ref190769425 \h </w:instrText>
      </w:r>
      <w:r>
        <w:rPr/>
        <w:fldChar w:fldCharType="separate"/>
      </w:r>
      <w:r>
        <w:rPr/>
        <w:t>8. Irudia</w:t>
      </w:r>
      <w:r>
        <w:rPr/>
        <w:fldChar w:fldCharType="end"/>
      </w:r>
      <w:r>
        <w:rPr/>
        <w:t xml:space="preserve">). </w:t>
      </w:r>
    </w:p>
    <w:p>
      <w:pPr>
        <w:pStyle w:val="Caption"/>
        <w:rPr/>
      </w:pPr>
      <w:bookmarkStart w:id="223" w:name="_Toc191031125"/>
      <w:bookmarkStart w:id="224" w:name="_Toc176184652"/>
      <w:bookmarkStart w:id="225" w:name="_Toc175830315"/>
      <w:bookmarkStart w:id="226" w:name="_Ref176949405"/>
      <w:r>
        <w:rPr/>
        <w:fldChar w:fldCharType="begin"/>
      </w:r>
      <w:r>
        <w:rPr/>
        <w:instrText xml:space="preserve"> SEQ Grafikoa \* ARABIC </w:instrText>
      </w:r>
      <w:r>
        <w:rPr/>
        <w:fldChar w:fldCharType="separate"/>
      </w:r>
      <w:r>
        <w:rPr/>
        <w:t>51</w:t>
      </w:r>
      <w:r>
        <w:rPr/>
        <w:fldChar w:fldCharType="end"/>
      </w:r>
      <w:r>
        <w:rPr/>
        <w:t>. Grafikoa</w:t>
      </w:r>
      <w:bookmarkEnd w:id="226"/>
      <w:r>
        <w:rPr/>
        <w:t>: Inor erroldatu gabeko etxebizitzen tasa (%).</w:t>
        <w:br/>
        <w:t>Pasaia, 202</w:t>
      </w:r>
      <w:bookmarkEnd w:id="224"/>
      <w:bookmarkEnd w:id="225"/>
      <w:r>
        <w:rPr/>
        <w:t>5</w:t>
      </w:r>
      <w:bookmarkEnd w:id="223"/>
    </w:p>
    <w:p>
      <w:pPr>
        <w:pStyle w:val="Normal"/>
        <w:rPr/>
      </w:pPr>
      <w:r>
        <w:rPr/>
        <w:drawing>
          <wp:inline distT="0" distB="0" distL="0" distR="0">
            <wp:extent cx="5390515" cy="3200400"/>
            <wp:effectExtent l="0" t="0" r="0" b="0"/>
            <wp:docPr id="59" name="Imagen45" descr="Hau duen irudia testua, pantaila-argazkia, diagram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45" descr="Hau duen irudia testua, pantaila-argazkia, diagrama, Bataiarri&#10;&#10;Baliteke AAk sortutako edukia zuzena ez izatea."/>
                    <pic:cNvPicPr>
                      <a:picLocks noChangeAspect="1" noChangeArrowheads="1"/>
                    </pic:cNvPicPr>
                  </pic:nvPicPr>
                  <pic:blipFill>
                    <a:blip r:embed="rId60"/>
                    <a:stretch>
                      <a:fillRect/>
                    </a:stretch>
                  </pic:blipFill>
                  <pic:spPr bwMode="auto">
                    <a:xfrm>
                      <a:off x="0" y="0"/>
                      <a:ext cx="5390515" cy="3200400"/>
                    </a:xfrm>
                    <a:prstGeom prst="rect">
                      <a:avLst/>
                    </a:prstGeom>
                  </pic:spPr>
                </pic:pic>
              </a:graphicData>
            </a:graphic>
          </wp:inline>
        </w:drawing>
      </w:r>
    </w:p>
    <w:p>
      <w:pPr>
        <w:pStyle w:val="Normal"/>
        <w:jc w:val="right"/>
        <w:rPr>
          <w:rStyle w:val="IturriaKar"/>
        </w:rPr>
      </w:pPr>
      <w:r>
        <w:rPr>
          <w:rStyle w:val="IturriaKar"/>
        </w:rPr>
        <w:t>Iturria: Errolda. Ekoizpen propioa.</w:t>
      </w:r>
    </w:p>
    <w:p>
      <w:pPr>
        <w:pStyle w:val="Normal"/>
        <w:jc w:val="right"/>
        <w:rPr>
          <w:rStyle w:val="IturriaKar"/>
        </w:rPr>
      </w:pPr>
      <w:r>
        <w:rPr/>
      </w:r>
    </w:p>
    <w:p>
      <w:pPr>
        <w:pStyle w:val="Caption"/>
        <w:rPr/>
      </w:pPr>
      <w:bookmarkStart w:id="227" w:name="_Toc191031169"/>
      <w:bookmarkStart w:id="228" w:name="_Ref182933063"/>
      <w:r>
        <w:rPr/>
        <w:fldChar w:fldCharType="begin"/>
      </w:r>
      <w:r>
        <w:rPr/>
        <w:instrText xml:space="preserve"> SEQ Taula \* ARABIC </w:instrText>
      </w:r>
      <w:r>
        <w:rPr/>
        <w:fldChar w:fldCharType="separate"/>
      </w:r>
      <w:r>
        <w:rPr/>
        <w:t>26</w:t>
      </w:r>
      <w:r>
        <w:rPr/>
        <w:fldChar w:fldCharType="end"/>
      </w:r>
      <w:r>
        <w:rPr/>
        <w:t>. Taula</w:t>
      </w:r>
      <w:bookmarkEnd w:id="228"/>
      <w:r>
        <w:rPr/>
        <w:t>: Etxebizitzak erabilera mailaren eta auzoaren arabera (kop.).</w:t>
        <w:br/>
        <w:t>Pasaia, 2025</w:t>
      </w:r>
      <w:bookmarkEnd w:id="227"/>
    </w:p>
    <w:tbl>
      <w:tblPr>
        <w:tblW w:w="723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617"/>
        <w:gridCol w:w="1927"/>
        <w:gridCol w:w="1984"/>
        <w:gridCol w:w="1701"/>
      </w:tblGrid>
      <w:tr>
        <w:trPr>
          <w:trHeight w:val="300" w:hRule="atLeast"/>
        </w:trPr>
        <w:tc>
          <w:tcPr>
            <w:tcW w:w="161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1927"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Erroldaturik gabeko etxebizitzak</w:t>
            </w:r>
          </w:p>
        </w:tc>
        <w:tc>
          <w:tcPr>
            <w:tcW w:w="198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Erroldatuak dituzten etxebizitzak</w:t>
            </w:r>
          </w:p>
        </w:tc>
        <w:tc>
          <w:tcPr>
            <w:tcW w:w="1701"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192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246</w:t>
            </w:r>
          </w:p>
        </w:tc>
        <w:tc>
          <w:tcPr>
            <w:tcW w:w="198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2.265</w:t>
            </w:r>
          </w:p>
        </w:tc>
        <w:tc>
          <w:tcPr>
            <w:tcW w:w="170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2.511</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192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179</w:t>
            </w:r>
          </w:p>
        </w:tc>
        <w:tc>
          <w:tcPr>
            <w:tcW w:w="198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949</w:t>
            </w:r>
          </w:p>
        </w:tc>
        <w:tc>
          <w:tcPr>
            <w:tcW w:w="170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1.128</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192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181</w:t>
            </w:r>
          </w:p>
        </w:tc>
        <w:tc>
          <w:tcPr>
            <w:tcW w:w="198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1.353</w:t>
            </w:r>
          </w:p>
        </w:tc>
        <w:tc>
          <w:tcPr>
            <w:tcW w:w="170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1.534</w:t>
            </w:r>
          </w:p>
        </w:tc>
      </w:tr>
      <w:tr>
        <w:trPr>
          <w:trHeight w:val="300" w:hRule="atLeast"/>
        </w:trPr>
        <w:tc>
          <w:tcPr>
            <w:tcW w:w="161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1927"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250</w:t>
            </w:r>
          </w:p>
        </w:tc>
        <w:tc>
          <w:tcPr>
            <w:tcW w:w="198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2.485</w:t>
            </w:r>
          </w:p>
        </w:tc>
        <w:tc>
          <w:tcPr>
            <w:tcW w:w="1701"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2.735</w:t>
            </w:r>
          </w:p>
        </w:tc>
      </w:tr>
      <w:tr>
        <w:trPr>
          <w:trHeight w:val="300" w:hRule="atLeast"/>
        </w:trPr>
        <w:tc>
          <w:tcPr>
            <w:tcW w:w="1617"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1927"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856</w:t>
            </w:r>
          </w:p>
        </w:tc>
        <w:tc>
          <w:tcPr>
            <w:tcW w:w="198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7.052</w:t>
            </w:r>
          </w:p>
        </w:tc>
        <w:tc>
          <w:tcPr>
            <w:tcW w:w="1701"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7.908</w:t>
            </w:r>
          </w:p>
        </w:tc>
      </w:tr>
    </w:tbl>
    <w:p>
      <w:pPr>
        <w:pStyle w:val="Normal"/>
        <w:tabs>
          <w:tab w:val="clear" w:pos="708"/>
          <w:tab w:val="left" w:pos="5814" w:leader="none"/>
          <w:tab w:val="right" w:pos="8504" w:leader="none"/>
        </w:tabs>
        <w:jc w:val="right"/>
        <w:rPr>
          <w:rStyle w:val="IturriaKar"/>
        </w:rPr>
      </w:pPr>
      <w:r>
        <w:rPr>
          <w:rStyle w:val="IturriaKar"/>
        </w:rPr>
        <w:tab/>
        <w:t>Iturria: Errolda. Ekoizpen propioa.</w:t>
      </w:r>
    </w:p>
    <w:p>
      <w:pPr>
        <w:pStyle w:val="Normal"/>
        <w:tabs>
          <w:tab w:val="clear" w:pos="708"/>
          <w:tab w:val="left" w:pos="5814" w:leader="none"/>
          <w:tab w:val="right" w:pos="8504" w:leader="none"/>
        </w:tabs>
        <w:jc w:val="right"/>
        <w:rPr/>
      </w:pPr>
      <w:r>
        <w:rPr/>
      </w:r>
      <w:bookmarkStart w:id="229" w:name="_Ref176949442"/>
      <w:bookmarkStart w:id="230" w:name="_Ref176949442"/>
    </w:p>
    <w:p>
      <w:pPr>
        <w:pStyle w:val="Normal"/>
        <w:rPr/>
      </w:pPr>
      <w:r>
        <w:rPr/>
      </w:r>
      <w:r>
        <w:br w:type="page"/>
      </w:r>
    </w:p>
    <w:p>
      <w:pPr>
        <w:pStyle w:val="Caption"/>
        <w:rPr/>
      </w:pPr>
      <w:bookmarkStart w:id="231" w:name="_Toc191031198"/>
      <w:bookmarkStart w:id="232" w:name="_Toc175830363"/>
      <w:bookmarkStart w:id="233" w:name="_Ref190769425"/>
      <w:r>
        <w:rPr/>
        <w:fldChar w:fldCharType="begin"/>
      </w:r>
      <w:r>
        <w:rPr/>
        <w:instrText xml:space="preserve"> SEQ Irudia \* ARABIC </w:instrText>
      </w:r>
      <w:r>
        <w:rPr/>
        <w:fldChar w:fldCharType="separate"/>
      </w:r>
      <w:r>
        <w:rPr/>
        <w:t>8</w:t>
      </w:r>
      <w:r>
        <w:rPr/>
        <w:fldChar w:fldCharType="end"/>
      </w:r>
      <w:r>
        <w:rPr/>
        <w:t>. Irudia</w:t>
      </w:r>
      <w:bookmarkEnd w:id="230"/>
      <w:bookmarkEnd w:id="233"/>
      <w:r>
        <w:rPr/>
        <w:t>: Inor erroldatu gabeko etxebizitzen bero mapa.</w:t>
        <w:br/>
        <w:t>Pasaia, 202</w:t>
      </w:r>
      <w:bookmarkEnd w:id="232"/>
      <w:r>
        <w:rPr/>
        <w:t>5</w:t>
      </w:r>
      <w:bookmarkEnd w:id="231"/>
    </w:p>
    <w:p>
      <w:pPr>
        <w:pStyle w:val="Normal"/>
        <w:rPr/>
      </w:pPr>
      <w:r>
        <w:rPr/>
        <w:drawing>
          <wp:inline distT="0" distB="0" distL="0" distR="0">
            <wp:extent cx="5400040" cy="3816350"/>
            <wp:effectExtent l="0" t="0" r="0" b="0"/>
            <wp:docPr id="60" name="Imagen46" descr="Hau duen irudia mapa, testu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46" descr="Hau duen irudia mapa, testua&#10;&#10;Baliteke AAk sortutako edukia zuzena ez izatea."/>
                    <pic:cNvPicPr>
                      <a:picLocks noChangeAspect="1" noChangeArrowheads="1"/>
                    </pic:cNvPicPr>
                  </pic:nvPicPr>
                  <pic:blipFill>
                    <a:blip r:embed="rId61"/>
                    <a:stretch>
                      <a:fillRect/>
                    </a:stretch>
                  </pic:blipFill>
                  <pic:spPr bwMode="auto">
                    <a:xfrm>
                      <a:off x="0" y="0"/>
                      <a:ext cx="5400040" cy="3816350"/>
                    </a:xfrm>
                    <a:prstGeom prst="rect">
                      <a:avLst/>
                    </a:prstGeom>
                  </pic:spPr>
                </pic:pic>
              </a:graphicData>
            </a:graphic>
          </wp:inline>
        </w:drawing>
      </w:r>
    </w:p>
    <w:p>
      <w:pPr>
        <w:pStyle w:val="Normal"/>
        <w:jc w:val="right"/>
        <w:rPr/>
      </w:pPr>
      <w:r>
        <w:rPr>
          <w:rStyle w:val="IturriaKar"/>
        </w:rPr>
        <w:t>Iturria: Errolda. Ekoizpen propioa.</w:t>
      </w:r>
    </w:p>
    <w:p>
      <w:pPr>
        <w:pStyle w:val="Normal"/>
        <w:rPr/>
      </w:pPr>
      <w:r>
        <w:rPr/>
      </w:r>
    </w:p>
    <w:p>
      <w:pPr>
        <w:pStyle w:val="Normal"/>
        <w:rPr/>
      </w:pPr>
      <w:r>
        <w:rPr/>
      </w:r>
    </w:p>
    <w:p>
      <w:pPr>
        <w:pStyle w:val="Normal"/>
        <w:rPr/>
      </w:pPr>
      <w:r>
        <w:rPr/>
      </w:r>
    </w:p>
    <w:p>
      <w:pPr>
        <w:pStyle w:val="Normal"/>
        <w:rPr/>
      </w:pPr>
      <w:r>
        <w:rPr/>
      </w:r>
      <w:r>
        <w:br w:type="page"/>
      </w:r>
    </w:p>
    <w:p>
      <w:pPr>
        <w:pStyle w:val="Ttulo1"/>
        <w:rPr/>
      </w:pPr>
      <w:bookmarkStart w:id="234" w:name="_Toc191031053"/>
      <w:r>
        <w:rPr/>
        <w:t>Etxebizitza beharrak eta eskaria</w:t>
      </w:r>
      <w:bookmarkEnd w:id="234"/>
    </w:p>
    <w:p>
      <w:pPr>
        <w:pStyle w:val="Normal"/>
        <w:jc w:val="both"/>
        <w:rPr/>
      </w:pPr>
      <w:r>
        <w:rPr/>
        <w:t>Atal honetan administrazioak jaso dituen etxebizitza eskariak kuantifikatu eta aztertzen dira. Datu horiek gaur egun udalerrian bizi den etxebizitza beharraren zenbatekoa eta nolakotasuna irudikatzeko baliagarriak dira.</w:t>
      </w:r>
    </w:p>
    <w:p>
      <w:pPr>
        <w:pStyle w:val="Ttulo2"/>
        <w:rPr/>
      </w:pPr>
      <w:bookmarkStart w:id="235" w:name="_Toc191031054"/>
      <w:r>
        <w:rPr/>
        <w:t>Aldagai nagusiak</w:t>
      </w:r>
      <w:bookmarkEnd w:id="235"/>
    </w:p>
    <w:p>
      <w:pPr>
        <w:pStyle w:val="Normal"/>
        <w:jc w:val="both"/>
        <w:rPr/>
      </w:pPr>
      <w:r>
        <w:rPr/>
        <w:t xml:space="preserve">Eusko Jaurlaritzaren Lurralde Plangintza, Etxebizitza eta Garraio Sailak Etxebide erregistroan inskribatutako eskariei buruzko informazio eskaintzen du udalerriz udalerri. </w:t>
      </w:r>
      <w:bookmarkStart w:id="236" w:name="_Hlk190863762"/>
      <w:r>
        <w:rPr/>
        <w:t>2024ko urriaren 1ean Pasaian 1.511 etxebizitza eskaera zeuden aktibo, mila biztanleko 94,4 eskaera. Eskaera maila hori Inguruko eta Gipuzkoako udalerrien artean altuenetakoa da</w:t>
      </w:r>
      <w:bookmarkEnd w:id="236"/>
      <w:r>
        <w:rPr/>
        <w:t xml:space="preserve">, Hernani (97,1 eskaera), Urnieta (94,6 eskaera) eta Lezorekin batera (94,1 eskaera) (ikus </w:t>
      </w:r>
      <w:r>
        <w:rPr/>
        <w:fldChar w:fldCharType="begin"/>
      </w:r>
      <w:r>
        <w:rPr/>
        <w:instrText xml:space="preserve"> REF _Ref171069153 \h </w:instrText>
      </w:r>
      <w:r>
        <w:rPr/>
        <w:fldChar w:fldCharType="separate"/>
      </w:r>
      <w:r>
        <w:rPr/>
        <w:t>53. Grafikoa</w:t>
      </w:r>
      <w:r>
        <w:rPr/>
        <w:fldChar w:fldCharType="end"/>
      </w:r>
      <w:r>
        <w:rPr/>
        <w:t xml:space="preserve"> eta </w:t>
      </w:r>
      <w:r>
        <w:rPr/>
        <w:fldChar w:fldCharType="begin"/>
      </w:r>
      <w:r>
        <w:rPr/>
        <w:instrText xml:space="preserve"> REF _Ref171069154 \h </w:instrText>
      </w:r>
      <w:r>
        <w:rPr/>
        <w:fldChar w:fldCharType="separate"/>
      </w:r>
      <w:r>
        <w:rPr/>
        <w:t>27. Taula</w:t>
      </w:r>
      <w:r>
        <w:rPr/>
        <w:fldChar w:fldCharType="end"/>
      </w:r>
      <w:r>
        <w:rPr/>
        <w:t>).</w:t>
      </w:r>
    </w:p>
    <w:p>
      <w:pPr>
        <w:pStyle w:val="Normal"/>
        <w:jc w:val="both"/>
        <w:rPr/>
      </w:pPr>
      <w:r>
        <w:rPr/>
        <w:t xml:space="preserve">Bi datu orokor azpimarratzea interesgarria da: lehena, </w:t>
      </w:r>
      <w:bookmarkStart w:id="237" w:name="_Hlk190863793"/>
      <w:r>
        <w:rPr/>
        <w:t xml:space="preserve">eskaera guztien %63,7 Pasaian erroldatuta dagoen jendeak egin ditu, ehuneko aipagarria. Bigarrena, eskaeren %76,6 alokairu eskaerak dira. Herrian erroldatutakoen artean %80,5ak alokairuko etxe baten eskaera egin du </w:t>
      </w:r>
      <w:bookmarkEnd w:id="237"/>
      <w:r>
        <w:rPr/>
        <w:t xml:space="preserve">(ikus </w:t>
      </w:r>
      <w:r>
        <w:rPr/>
        <w:fldChar w:fldCharType="begin"/>
      </w:r>
      <w:r>
        <w:rPr/>
        <w:instrText xml:space="preserve"> REF _Ref171069153 \h </w:instrText>
      </w:r>
      <w:r>
        <w:rPr/>
        <w:fldChar w:fldCharType="separate"/>
      </w:r>
      <w:r>
        <w:rPr/>
        <w:t>53. Grafikoa</w:t>
      </w:r>
      <w:r>
        <w:rPr/>
        <w:fldChar w:fldCharType="end"/>
      </w:r>
      <w:r>
        <w:rPr/>
        <w:t xml:space="preserve"> eta </w:t>
      </w:r>
      <w:r>
        <w:rPr/>
        <w:fldChar w:fldCharType="begin"/>
      </w:r>
      <w:r>
        <w:rPr/>
        <w:instrText xml:space="preserve"> REF _Ref171069154 \h </w:instrText>
      </w:r>
      <w:r>
        <w:rPr/>
        <w:fldChar w:fldCharType="separate"/>
      </w:r>
      <w:r>
        <w:rPr/>
        <w:t>27. Taula</w:t>
      </w:r>
      <w:r>
        <w:rPr/>
        <w:fldChar w:fldCharType="end"/>
      </w:r>
      <w:r>
        <w:rPr/>
        <w:t xml:space="preserve">).  </w:t>
      </w:r>
    </w:p>
    <w:p>
      <w:pPr>
        <w:pStyle w:val="Caption"/>
        <w:rPr>
          <w:rStyle w:val="2izenburuaKar"/>
        </w:rPr>
      </w:pPr>
      <w:bookmarkStart w:id="238" w:name="_Toc191031126"/>
      <w:r>
        <w:rPr/>
        <w:fldChar w:fldCharType="begin"/>
      </w:r>
      <w:r>
        <w:rPr/>
        <w:instrText xml:space="preserve"> SEQ Grafikoa \* ARABIC </w:instrText>
      </w:r>
      <w:r>
        <w:rPr/>
        <w:fldChar w:fldCharType="separate"/>
      </w:r>
      <w:r>
        <w:rPr/>
        <w:t>52</w:t>
      </w:r>
      <w:r>
        <w:rPr/>
        <w:fldChar w:fldCharType="end"/>
      </w:r>
      <w:r>
        <w:rPr/>
        <w:t>. Grafikoa: Etxebizitza eskaria udalerriaren arabera (%).</w:t>
        <w:br/>
        <w:t>Pasaia eta bere testuingurua, 2024</w:t>
      </w:r>
      <w:bookmarkEnd w:id="238"/>
      <w:r>
        <w:rPr>
          <w:rStyle w:val="2izenburuaKar"/>
          <w:b/>
        </w:rPr>
        <w:t xml:space="preserve"> </w:t>
      </w:r>
    </w:p>
    <w:p>
      <w:pPr>
        <w:pStyle w:val="Iturria"/>
        <w:rPr/>
      </w:pPr>
      <w:r>
        <w:rPr/>
        <w:drawing>
          <wp:inline distT="0" distB="0" distL="0" distR="0">
            <wp:extent cx="5391150" cy="3200400"/>
            <wp:effectExtent l="0" t="0" r="0" b="0"/>
            <wp:docPr id="61" name="Imagen47" descr="Hau duen irudia testua, pantaila-argazkia, zenbaki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47" descr="Hau duen irudia testua, pantaila-argazkia, zenbakia, Bataiarri&#10;&#10;Baliteke AAk sortutako edukia zuzena ez izatea."/>
                    <pic:cNvPicPr>
                      <a:picLocks noChangeAspect="1" noChangeArrowheads="1"/>
                    </pic:cNvPicPr>
                  </pic:nvPicPr>
                  <pic:blipFill>
                    <a:blip r:embed="rId62"/>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 xml:space="preserve">Iturria: </w:t>
      </w:r>
      <w:r>
        <w:rPr/>
        <w:t>Eusko Jaurlaritzaren Lurralde Plangintza, Etxebizitza eta Garraio Saila eta INE</w:t>
      </w:r>
      <w:r>
        <w:rPr>
          <w:rStyle w:val="IturriaKar"/>
        </w:rPr>
        <w:t>.</w:t>
      </w:r>
    </w:p>
    <w:p>
      <w:pPr>
        <w:pStyle w:val="Caption"/>
        <w:rPr/>
      </w:pPr>
      <w:bookmarkStart w:id="239" w:name="_Toc191031170"/>
      <w:bookmarkStart w:id="240" w:name="_Toc176340778"/>
      <w:bookmarkStart w:id="241" w:name="_Toc171936704"/>
      <w:bookmarkStart w:id="242" w:name="_Ref171069154"/>
      <w:r>
        <w:rPr/>
        <w:fldChar w:fldCharType="begin"/>
      </w:r>
      <w:r>
        <w:rPr/>
        <w:instrText xml:space="preserve"> SEQ Taula \* ARABIC </w:instrText>
      </w:r>
      <w:r>
        <w:rPr/>
        <w:fldChar w:fldCharType="separate"/>
      </w:r>
      <w:r>
        <w:rPr/>
        <w:t>27</w:t>
      </w:r>
      <w:r>
        <w:rPr/>
        <w:fldChar w:fldCharType="end"/>
      </w:r>
      <w:r>
        <w:rPr/>
        <w:t>. Taula</w:t>
      </w:r>
      <w:bookmarkEnd w:id="242"/>
      <w:r>
        <w:rPr/>
        <w:t>: Etxebizitza eskaria erregimenaren eta bizilekuaren arabera (kop.).</w:t>
        <w:br/>
        <w:t>Pasaia, 202</w:t>
      </w:r>
      <w:bookmarkEnd w:id="240"/>
      <w:bookmarkEnd w:id="241"/>
      <w:r>
        <w:rPr/>
        <w:t>4</w:t>
      </w:r>
      <w:bookmarkEnd w:id="239"/>
    </w:p>
    <w:tbl>
      <w:tblPr>
        <w:tblW w:w="539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499"/>
        <w:gridCol w:w="961"/>
        <w:gridCol w:w="972"/>
        <w:gridCol w:w="959"/>
      </w:tblGrid>
      <w:tr>
        <w:trPr>
          <w:trHeight w:val="300" w:hRule="atLeast"/>
        </w:trPr>
        <w:tc>
          <w:tcPr>
            <w:tcW w:w="2499" w:type="dxa"/>
            <w:tcBorders>
              <w:left w:val="single" w:sz="4" w:space="0" w:color="246873"/>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Eskatzaileen bizilekua</w:t>
            </w:r>
          </w:p>
        </w:tc>
        <w:tc>
          <w:tcPr>
            <w:tcW w:w="961" w:type="dxa"/>
            <w:tcBorders>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972" w:type="dxa"/>
            <w:tcBorders>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959" w:type="dxa"/>
            <w:tcBorders>
              <w:left w:val="single" w:sz="4" w:space="0" w:color="000000"/>
              <w:bottom w:val="single" w:sz="4" w:space="0" w:color="000000"/>
              <w:right w:val="single" w:sz="4" w:space="0" w:color="246873"/>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2499"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Udalerrian erroldatuak</w:t>
            </w:r>
          </w:p>
        </w:tc>
        <w:tc>
          <w:tcPr>
            <w:tcW w:w="96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188</w:t>
            </w:r>
          </w:p>
        </w:tc>
        <w:tc>
          <w:tcPr>
            <w:tcW w:w="97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774</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962</w:t>
            </w:r>
          </w:p>
        </w:tc>
      </w:tr>
      <w:tr>
        <w:trPr>
          <w:trHeight w:val="300" w:hRule="atLeast"/>
        </w:trPr>
        <w:tc>
          <w:tcPr>
            <w:tcW w:w="2499"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Udalerrian ez erroldatuak</w:t>
            </w:r>
          </w:p>
        </w:tc>
        <w:tc>
          <w:tcPr>
            <w:tcW w:w="96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166</w:t>
            </w:r>
          </w:p>
        </w:tc>
        <w:tc>
          <w:tcPr>
            <w:tcW w:w="97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383</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549</w:t>
            </w:r>
          </w:p>
        </w:tc>
      </w:tr>
      <w:tr>
        <w:trPr>
          <w:trHeight w:val="300" w:hRule="atLeast"/>
        </w:trPr>
        <w:tc>
          <w:tcPr>
            <w:tcW w:w="2499" w:type="dxa"/>
            <w:tcBorders>
              <w:top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61"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354</w:t>
            </w:r>
          </w:p>
        </w:tc>
        <w:tc>
          <w:tcPr>
            <w:tcW w:w="972"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cs="Calibri Light"/>
                <w:b/>
                <w:bCs/>
                <w:color w:val="000000"/>
                <w:sz w:val="20"/>
                <w:szCs w:val="20"/>
              </w:rPr>
              <w:t>1157</w:t>
            </w:r>
          </w:p>
        </w:tc>
        <w:tc>
          <w:tcPr>
            <w:tcW w:w="959" w:type="dxa"/>
            <w:tcBorders>
              <w:top w:val="single" w:sz="4" w:space="0" w:color="000000"/>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1.511</w:t>
            </w:r>
          </w:p>
        </w:tc>
      </w:tr>
    </w:tbl>
    <w:p>
      <w:pPr>
        <w:pStyle w:val="Iturria"/>
        <w:rPr>
          <w:rStyle w:val="IturriaKar"/>
        </w:rPr>
      </w:pPr>
      <w:r>
        <w:rPr>
          <w:rStyle w:val="IturriaKar"/>
        </w:rPr>
        <w:t xml:space="preserve">Iturria: </w:t>
      </w:r>
      <w:r>
        <w:rPr/>
        <w:t>Eusko Jaurlaritzaren Lurralde Plangintza, Etxebizitza eta Garraio Saila</w:t>
      </w:r>
      <w:r>
        <w:rPr>
          <w:rStyle w:val="IturriaKar"/>
        </w:rPr>
        <w:t>.</w:t>
      </w:r>
    </w:p>
    <w:p>
      <w:pPr>
        <w:pStyle w:val="Caption"/>
        <w:rPr>
          <w:lang w:eastAsia="es-ES"/>
        </w:rPr>
      </w:pPr>
      <w:bookmarkStart w:id="243" w:name="_Toc191031127"/>
      <w:bookmarkStart w:id="244" w:name="_Toc176340741"/>
      <w:bookmarkStart w:id="245" w:name="_Toc171936665"/>
      <w:bookmarkStart w:id="246" w:name="_Ref171069153"/>
      <w:r>
        <w:rPr/>
        <w:fldChar w:fldCharType="begin"/>
      </w:r>
      <w:r>
        <w:rPr/>
        <w:instrText xml:space="preserve"> SEQ Grafikoa \* ARABIC </w:instrText>
      </w:r>
      <w:r>
        <w:rPr/>
        <w:fldChar w:fldCharType="separate"/>
      </w:r>
      <w:r>
        <w:rPr/>
        <w:t>53</w:t>
      </w:r>
      <w:r>
        <w:rPr/>
        <w:fldChar w:fldCharType="end"/>
      </w:r>
      <w:r>
        <w:rPr/>
        <w:t>. Grafikoa</w:t>
      </w:r>
      <w:bookmarkEnd w:id="246"/>
      <w:r>
        <w:rPr/>
        <w:t>: Etxebizitza eskaria erregimenaren eta bizilekuaren arabera (%).</w:t>
        <w:br/>
        <w:t>Pasaia, 2024</w:t>
      </w:r>
      <w:bookmarkEnd w:id="243"/>
      <w:bookmarkEnd w:id="244"/>
      <w:bookmarkEnd w:id="245"/>
      <w:r>
        <w:rPr>
          <w:rStyle w:val="2izenburuaKar"/>
          <w:b/>
        </w:rPr>
        <w:t xml:space="preserve"> </w:t>
      </w:r>
    </w:p>
    <w:p>
      <w:pPr>
        <w:pStyle w:val="Caption"/>
        <w:rPr>
          <w:lang w:eastAsia="es-ES"/>
        </w:rPr>
      </w:pPr>
      <w:r>
        <w:rPr/>
        <w:drawing>
          <wp:inline distT="0" distB="0" distL="0" distR="0">
            <wp:extent cx="5390515" cy="3200400"/>
            <wp:effectExtent l="0" t="0" r="0" b="0"/>
            <wp:docPr id="62" name="Imagen48" descr="Hau duen irudia testua, pantaila-argazkia, diagram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48" descr="Hau duen irudia testua, pantaila-argazkia, diagrama, Bataiarri&#10;&#10;Baliteke AAk sortutako edukia zuzena ez izatea."/>
                    <pic:cNvPicPr>
                      <a:picLocks noChangeAspect="1" noChangeArrowheads="1"/>
                    </pic:cNvPicPr>
                  </pic:nvPicPr>
                  <pic:blipFill>
                    <a:blip r:embed="rId63"/>
                    <a:stretch>
                      <a:fillRect/>
                    </a:stretch>
                  </pic:blipFill>
                  <pic:spPr bwMode="auto">
                    <a:xfrm>
                      <a:off x="0" y="0"/>
                      <a:ext cx="5390515" cy="3200400"/>
                    </a:xfrm>
                    <a:prstGeom prst="rect">
                      <a:avLst/>
                    </a:prstGeom>
                  </pic:spPr>
                </pic:pic>
              </a:graphicData>
            </a:graphic>
          </wp:inline>
        </w:drawing>
      </w:r>
    </w:p>
    <w:p>
      <w:pPr>
        <w:pStyle w:val="Caption"/>
        <w:rPr>
          <w:highlight w:val="green"/>
        </w:rPr>
      </w:pPr>
      <w:r>
        <w:rPr/>
        <w:t>Iturria: Eusko Jaurlaritzaren Lurralde Plangintza, Etxebizitza eta Garraio Saila.</w:t>
      </w:r>
    </w:p>
    <w:p>
      <w:pPr>
        <w:pStyle w:val="Normal"/>
        <w:jc w:val="both"/>
        <w:rPr/>
      </w:pPr>
      <w:r>
        <w:rPr/>
        <w:t xml:space="preserve">Eskaerak errenta mailaren arabera aztertzen badira, eskaera gehienak diru-sarrera baxueneko pertsonenak dira (%22,0), baita maila ertaineko eta ertain-baxuko pertsonak: eskaeren %12,1 12.000-15.000€ bitarteko diru-sarrerak dituzten pertsonek egin dituzte eta %23,4, berriz, 15.000-21.000€ arteko sarrerak aitortzen dituztenek. Alegia, </w:t>
      </w:r>
      <w:bookmarkStart w:id="247" w:name="_Hlk190863848"/>
      <w:r>
        <w:rPr/>
        <w:t xml:space="preserve">eskaeren %57,51 diru sarrera baxu edo baxu-ertaineko pertsonek egin dituzte. </w:t>
      </w:r>
    </w:p>
    <w:p>
      <w:pPr>
        <w:pStyle w:val="Normal"/>
        <w:jc w:val="both"/>
        <w:rPr/>
      </w:pPr>
      <w:r>
        <w:rPr/>
        <w:t>Eskaerak kide kopuruaren arabera aztertuta kide bakarreko etxebizitza eskaerak dira gehienak (%59,0) eta generoaren arabera emakumeen eskaerak %41,3 dira</w:t>
      </w:r>
      <w:bookmarkEnd w:id="247"/>
      <w:r>
        <w:rPr/>
        <w:t xml:space="preserve">, gizonenak %36,1 eta bi sexuetako pertsonenak %22,6 (ikus </w:t>
      </w:r>
      <w:r>
        <w:rPr/>
        <w:fldChar w:fldCharType="begin"/>
      </w:r>
      <w:r>
        <w:rPr/>
        <w:instrText xml:space="preserve"> REF _Ref175911776 \h </w:instrText>
      </w:r>
      <w:r>
        <w:rPr/>
        <w:fldChar w:fldCharType="separate"/>
      </w:r>
      <w:r>
        <w:rPr/>
        <w:t>54. Grafikoa</w:t>
      </w:r>
      <w:r>
        <w:rPr/>
        <w:fldChar w:fldCharType="end"/>
      </w:r>
      <w:r>
        <w:rPr/>
        <w:t xml:space="preserve">, </w:t>
      </w:r>
      <w:r>
        <w:rPr/>
        <w:fldChar w:fldCharType="begin"/>
      </w:r>
      <w:r>
        <w:rPr/>
        <w:instrText xml:space="preserve"> REF _Ref175911787 \h </w:instrText>
      </w:r>
      <w:r>
        <w:rPr/>
        <w:fldChar w:fldCharType="separate"/>
      </w:r>
      <w:r>
        <w:rPr/>
        <w:t>55. Grafikoa</w:t>
      </w:r>
      <w:r>
        <w:rPr/>
        <w:fldChar w:fldCharType="end"/>
      </w:r>
      <w:r>
        <w:rPr/>
        <w:t xml:space="preserve">, </w:t>
      </w:r>
      <w:r>
        <w:rPr/>
        <w:fldChar w:fldCharType="begin"/>
      </w:r>
      <w:r>
        <w:rPr/>
        <w:instrText xml:space="preserve"> REF _Ref175911797 \h </w:instrText>
      </w:r>
      <w:r>
        <w:rPr/>
        <w:fldChar w:fldCharType="separate"/>
      </w:r>
      <w:r>
        <w:rPr/>
        <w:t>56. Grafikoa</w:t>
      </w:r>
      <w:r>
        <w:rPr/>
        <w:fldChar w:fldCharType="end"/>
      </w:r>
      <w:r>
        <w:rPr/>
        <w:t xml:space="preserve">, </w:t>
      </w:r>
      <w:r>
        <w:rPr/>
        <w:fldChar w:fldCharType="begin"/>
      </w:r>
      <w:r>
        <w:rPr/>
        <w:instrText xml:space="preserve"> REF _Ref175911813 \h </w:instrText>
      </w:r>
      <w:r>
        <w:rPr/>
        <w:fldChar w:fldCharType="separate"/>
      </w:r>
      <w:r>
        <w:rPr/>
        <w:t>28. Taula</w:t>
      </w:r>
      <w:r>
        <w:rPr/>
        <w:fldChar w:fldCharType="end"/>
      </w:r>
      <w:r>
        <w:rPr/>
        <w:t xml:space="preserve">, </w:t>
      </w:r>
      <w:r>
        <w:rPr/>
        <w:fldChar w:fldCharType="begin"/>
      </w:r>
      <w:r>
        <w:rPr/>
        <w:instrText xml:space="preserve"> REF _Ref175911819 \h </w:instrText>
      </w:r>
      <w:r>
        <w:rPr/>
        <w:fldChar w:fldCharType="separate"/>
      </w:r>
      <w:r>
        <w:rPr/>
        <w:t>29. Taula</w:t>
      </w:r>
      <w:r>
        <w:rPr/>
        <w:fldChar w:fldCharType="end"/>
      </w:r>
      <w:r>
        <w:rPr/>
        <w:t xml:space="preserve"> eta </w:t>
      </w:r>
      <w:r>
        <w:rPr/>
        <w:fldChar w:fldCharType="begin"/>
      </w:r>
      <w:r>
        <w:rPr/>
        <w:instrText xml:space="preserve"> REF _Ref175911825 \h </w:instrText>
      </w:r>
      <w:r>
        <w:rPr/>
        <w:fldChar w:fldCharType="separate"/>
      </w:r>
      <w:r>
        <w:rPr/>
        <w:t>30. Taula</w:t>
      </w:r>
      <w:r>
        <w:rPr/>
        <w:fldChar w:fldCharType="end"/>
      </w:r>
      <w:r>
        <w:rPr/>
        <w:t xml:space="preserve">). </w:t>
      </w:r>
    </w:p>
    <w:p>
      <w:pPr>
        <w:pStyle w:val="Normal"/>
        <w:jc w:val="both"/>
        <w:rPr/>
      </w:pPr>
      <w:r>
        <w:rPr/>
        <w:t xml:space="preserve">Bestalde, hauek dira eskaeren beste hainbat ezaugarri. </w:t>
      </w:r>
    </w:p>
    <w:p>
      <w:pPr>
        <w:pStyle w:val="Normal"/>
        <w:numPr>
          <w:ilvl w:val="0"/>
          <w:numId w:val="4"/>
        </w:numPr>
        <w:jc w:val="both"/>
        <w:rPr/>
      </w:pPr>
      <w:r>
        <w:rPr/>
        <w:t xml:space="preserve">Etxebizitza egokituen 28 eskaera. </w:t>
      </w:r>
    </w:p>
    <w:p>
      <w:pPr>
        <w:pStyle w:val="Normal"/>
        <w:numPr>
          <w:ilvl w:val="0"/>
          <w:numId w:val="4"/>
        </w:numPr>
        <w:jc w:val="both"/>
        <w:rPr/>
      </w:pPr>
      <w:r>
        <w:rPr/>
        <w:t xml:space="preserve">Etxebizitza eskubide subjektiboari lotutako 88 eskaera. </w:t>
      </w:r>
    </w:p>
    <w:p>
      <w:pPr>
        <w:pStyle w:val="Normal"/>
        <w:numPr>
          <w:ilvl w:val="0"/>
          <w:numId w:val="4"/>
        </w:numPr>
        <w:jc w:val="both"/>
        <w:rPr/>
      </w:pPr>
      <w:r>
        <w:rPr/>
        <w:t xml:space="preserve">36 urtetik beherako pertsonen 418 eskaera. </w:t>
      </w:r>
    </w:p>
    <w:p>
      <w:pPr>
        <w:pStyle w:val="Normal"/>
        <w:numPr>
          <w:ilvl w:val="0"/>
          <w:numId w:val="4"/>
        </w:numPr>
        <w:jc w:val="both"/>
        <w:rPr/>
      </w:pPr>
      <w:r>
        <w:rPr/>
        <w:t xml:space="preserve">Etxebizitza-premia berezidun 292 eskaera. </w:t>
      </w:r>
    </w:p>
    <w:p>
      <w:pPr>
        <w:pStyle w:val="Normal"/>
        <w:jc w:val="both"/>
        <w:rPr/>
      </w:pPr>
      <w:bookmarkStart w:id="248" w:name="_Hlk190863879"/>
      <w:r>
        <w:rPr/>
        <w:t>Azpimarragarria da 36 urtetik beherako pertsonen eskaerak eskaera guztien %27,7a direla</w:t>
      </w:r>
      <w:bookmarkEnd w:id="248"/>
      <w:r>
        <w:rPr/>
        <w:t xml:space="preserve">. </w:t>
      </w:r>
    </w:p>
    <w:p>
      <w:pPr>
        <w:pStyle w:val="Normal"/>
        <w:jc w:val="both"/>
        <w:rPr/>
      </w:pPr>
      <w:r>
        <w:rPr/>
      </w:r>
    </w:p>
    <w:p>
      <w:pPr>
        <w:pStyle w:val="Normal"/>
        <w:jc w:val="both"/>
        <w:rPr/>
      </w:pPr>
      <w:r>
        <w:rPr/>
      </w:r>
    </w:p>
    <w:p>
      <w:pPr>
        <w:pStyle w:val="Caption"/>
        <w:rPr/>
      </w:pPr>
      <w:bookmarkStart w:id="249" w:name="_Toc191031171"/>
      <w:bookmarkStart w:id="250" w:name="_Toc176340779"/>
      <w:bookmarkStart w:id="251" w:name="_Toc171936705"/>
      <w:bookmarkStart w:id="252" w:name="_Ref175911813"/>
      <w:r>
        <w:rPr/>
        <w:fldChar w:fldCharType="begin"/>
      </w:r>
      <w:r>
        <w:rPr/>
        <w:instrText xml:space="preserve"> SEQ Taula \* ARABIC </w:instrText>
      </w:r>
      <w:r>
        <w:rPr/>
        <w:fldChar w:fldCharType="separate"/>
      </w:r>
      <w:r>
        <w:rPr/>
        <w:t>28</w:t>
      </w:r>
      <w:r>
        <w:rPr/>
        <w:fldChar w:fldCharType="end"/>
      </w:r>
      <w:r>
        <w:rPr/>
        <w:t>. Taula</w:t>
      </w:r>
      <w:bookmarkEnd w:id="252"/>
      <w:r>
        <w:rPr/>
        <w:t>: Etxebizitza eskaria diru-sarreraren eta bizilekuaren arabera (kop.).</w:t>
        <w:br/>
        <w:t>Pasaia, 2024</w:t>
      </w:r>
      <w:bookmarkEnd w:id="250"/>
      <w:bookmarkEnd w:id="251"/>
      <w:r>
        <w:rPr>
          <w:rStyle w:val="Ancladenotaalpie"/>
        </w:rPr>
        <w:footnoteReference w:id="11"/>
      </w:r>
      <w:bookmarkEnd w:id="249"/>
    </w:p>
    <w:tbl>
      <w:tblPr>
        <w:tblW w:w="8789"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839"/>
        <w:gridCol w:w="964"/>
        <w:gridCol w:w="1044"/>
        <w:gridCol w:w="965"/>
        <w:gridCol w:w="911"/>
        <w:gridCol w:w="1043"/>
        <w:gridCol w:w="1022"/>
      </w:tblGrid>
      <w:tr>
        <w:trPr>
          <w:trHeight w:val="300" w:hRule="atLeast"/>
        </w:trPr>
        <w:tc>
          <w:tcPr>
            <w:tcW w:w="2839" w:type="dxa"/>
            <w:tcBorders>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 </w:t>
            </w:r>
          </w:p>
        </w:tc>
        <w:tc>
          <w:tcPr>
            <w:tcW w:w="2973" w:type="dxa"/>
            <w:gridSpan w:val="3"/>
            <w:tcBorders>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erroldatuak</w:t>
            </w:r>
          </w:p>
        </w:tc>
        <w:tc>
          <w:tcPr>
            <w:tcW w:w="2976" w:type="dxa"/>
            <w:gridSpan w:val="3"/>
            <w:tcBorders>
              <w:left w:val="single" w:sz="4" w:space="0" w:color="000000"/>
              <w:bottom w:val="single" w:sz="4" w:space="0" w:color="000000"/>
              <w:right w:val="single" w:sz="4" w:space="0" w:color="246873"/>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ez erroldatuak</w:t>
            </w:r>
          </w:p>
        </w:tc>
      </w:tr>
      <w:tr>
        <w:trPr>
          <w:trHeight w:val="300" w:hRule="atLeast"/>
        </w:trPr>
        <w:tc>
          <w:tcPr>
            <w:tcW w:w="2839" w:type="dxa"/>
            <w:tcBorders>
              <w:top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Eskatzaileen diru-sarrera</w:t>
            </w:r>
          </w:p>
        </w:tc>
        <w:tc>
          <w:tcPr>
            <w:tcW w:w="96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965"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c>
          <w:tcPr>
            <w:tcW w:w="911"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1022" w:type="dxa"/>
            <w:tcBorders>
              <w:top w:val="single" w:sz="4" w:space="0" w:color="000000"/>
              <w:left w:val="single" w:sz="4" w:space="0" w:color="000000"/>
              <w:bottom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Daturik ez</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 xml:space="preserve"> </w:t>
            </w:r>
            <w:r>
              <w:rPr>
                <w:rFonts w:eastAsia="Times New Roman" w:cs="Calibri Light"/>
                <w:color w:val="000000"/>
                <w:kern w:val="0"/>
                <w:sz w:val="20"/>
                <w:szCs w:val="20"/>
                <w:lang w:eastAsia="eu-ES"/>
                <w14:ligatures w14:val="none"/>
              </w:rPr>
              <w:t xml:space="preserve">* </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 xml:space="preserve"> </w:t>
            </w:r>
            <w:r>
              <w:rPr>
                <w:rFonts w:eastAsia="Times New Roman" w:cs="Calibri Light"/>
                <w:color w:val="000000"/>
                <w:kern w:val="0"/>
                <w:sz w:val="20"/>
                <w:szCs w:val="20"/>
                <w:lang w:eastAsia="eu-ES"/>
                <w14:ligatures w14:val="none"/>
              </w:rPr>
              <w:t xml:space="preserve">* </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&lt;3.000€</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113</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47</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3.000-9.000€</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9.000-12.000€</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12.000-15.000€</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118</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126</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42</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57</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15.000-21.000€</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191</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229</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124</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21.000-28.047€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41</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161</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58</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28.047- 43.754€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149</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58</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125</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43.754- 56.095€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w:t>
            </w:r>
          </w:p>
        </w:tc>
      </w:tr>
      <w:tr>
        <w:trPr>
          <w:trHeight w:val="300" w:hRule="atLeast"/>
        </w:trPr>
        <w:tc>
          <w:tcPr>
            <w:tcW w:w="283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&gt;56.095€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 xml:space="preserve"> </w:t>
            </w:r>
            <w:r>
              <w:rPr>
                <w:rFonts w:eastAsia="Times New Roman" w:cs="Calibri Light"/>
                <w:color w:val="000000"/>
                <w:kern w:val="0"/>
                <w:sz w:val="20"/>
                <w:szCs w:val="20"/>
                <w:lang w:eastAsia="eu-ES"/>
                <w14:ligatures w14:val="none"/>
              </w:rPr>
              <w:t xml:space="preserve">7 </w:t>
            </w:r>
          </w:p>
        </w:tc>
        <w:tc>
          <w:tcPr>
            <w:tcW w:w="9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2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r>
      <w:tr>
        <w:trPr>
          <w:trHeight w:val="300" w:hRule="atLeast"/>
        </w:trPr>
        <w:tc>
          <w:tcPr>
            <w:tcW w:w="2839" w:type="dxa"/>
            <w:tcBorders>
              <w:top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6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188</w:t>
            </w:r>
          </w:p>
        </w:tc>
        <w:tc>
          <w:tcPr>
            <w:tcW w:w="104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774</w:t>
            </w:r>
          </w:p>
        </w:tc>
        <w:tc>
          <w:tcPr>
            <w:tcW w:w="965"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962</w:t>
            </w:r>
          </w:p>
        </w:tc>
        <w:tc>
          <w:tcPr>
            <w:tcW w:w="911"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w:t>
            </w:r>
          </w:p>
        </w:tc>
        <w:tc>
          <w:tcPr>
            <w:tcW w:w="104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383</w:t>
            </w:r>
          </w:p>
        </w:tc>
        <w:tc>
          <w:tcPr>
            <w:tcW w:w="1022" w:type="dxa"/>
            <w:tcBorders>
              <w:top w:val="single" w:sz="4" w:space="0" w:color="000000"/>
              <w:lef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549</w:t>
            </w:r>
          </w:p>
        </w:tc>
      </w:tr>
    </w:tbl>
    <w:p>
      <w:pPr>
        <w:pStyle w:val="Iturria"/>
        <w:rPr>
          <w:rStyle w:val="IturriaKar"/>
        </w:rPr>
      </w:pPr>
      <w:r>
        <w:rPr>
          <w:rStyle w:val="IturriaKar"/>
        </w:rPr>
        <w:t xml:space="preserve">Iturria: </w:t>
      </w:r>
      <w:r>
        <w:rPr/>
        <w:t>Eusko Jaurlaritzaren Lurralde Plangintza, Etxebizitza eta Garraio Saila</w:t>
      </w:r>
      <w:r>
        <w:rPr>
          <w:rStyle w:val="IturriaKar"/>
        </w:rPr>
        <w:t>.</w:t>
      </w:r>
    </w:p>
    <w:p>
      <w:pPr>
        <w:pStyle w:val="Iturria"/>
        <w:rPr/>
      </w:pPr>
      <w:r>
        <w:rPr/>
      </w:r>
    </w:p>
    <w:p>
      <w:pPr>
        <w:pStyle w:val="Caption"/>
        <w:rPr/>
      </w:pPr>
      <w:bookmarkStart w:id="253" w:name="_Toc191031128"/>
      <w:bookmarkStart w:id="254" w:name="_Toc176340742"/>
      <w:bookmarkStart w:id="255" w:name="_Toc171936666"/>
      <w:bookmarkStart w:id="256" w:name="_Ref175911776"/>
      <w:r>
        <w:rPr/>
        <w:fldChar w:fldCharType="begin"/>
      </w:r>
      <w:r>
        <w:rPr/>
        <w:instrText xml:space="preserve"> SEQ Grafikoa \* ARABIC </w:instrText>
      </w:r>
      <w:r>
        <w:rPr/>
        <w:fldChar w:fldCharType="separate"/>
      </w:r>
      <w:r>
        <w:rPr/>
        <w:t>54</w:t>
      </w:r>
      <w:r>
        <w:rPr/>
        <w:fldChar w:fldCharType="end"/>
      </w:r>
      <w:r>
        <w:rPr/>
        <w:t>. Grafikoa</w:t>
      </w:r>
      <w:bookmarkEnd w:id="256"/>
      <w:r>
        <w:rPr/>
        <w:t>: Etxebizitza eskaria diru-sarreraren eta bizilekuaren arabera (%).</w:t>
        <w:br/>
        <w:t>Pasaia, 2024</w:t>
      </w:r>
      <w:bookmarkEnd w:id="253"/>
      <w:bookmarkEnd w:id="254"/>
      <w:bookmarkEnd w:id="255"/>
    </w:p>
    <w:p>
      <w:pPr>
        <w:pStyle w:val="Iturria"/>
        <w:rPr>
          <w:rStyle w:val="IturriaKar"/>
        </w:rPr>
      </w:pPr>
      <w:r>
        <w:rPr/>
        <w:drawing>
          <wp:inline distT="0" distB="0" distL="0" distR="0">
            <wp:extent cx="5390515" cy="3200400"/>
            <wp:effectExtent l="0" t="0" r="0" b="0"/>
            <wp:docPr id="63" name="Imagen49" descr="Hau duen irudia testua, diagrama, Lurrazal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49" descr="Hau duen irudia testua, diagrama, Lurrazala, lerroa&#10;&#10;Baliteke AAk sortutako edukia zuzena ez izatea."/>
                    <pic:cNvPicPr>
                      <a:picLocks noChangeAspect="1" noChangeArrowheads="1"/>
                    </pic:cNvPicPr>
                  </pic:nvPicPr>
                  <pic:blipFill>
                    <a:blip r:embed="rId64"/>
                    <a:stretch>
                      <a:fillRect/>
                    </a:stretch>
                  </pic:blipFill>
                  <pic:spPr bwMode="auto">
                    <a:xfrm>
                      <a:off x="0" y="0"/>
                      <a:ext cx="5390515" cy="3200400"/>
                    </a:xfrm>
                    <a:prstGeom prst="rect">
                      <a:avLst/>
                    </a:prstGeom>
                  </pic:spPr>
                </pic:pic>
              </a:graphicData>
            </a:graphic>
          </wp:inline>
        </w:drawing>
      </w:r>
      <w:r>
        <w:rPr>
          <w:rStyle w:val="IturriaKar"/>
        </w:rPr>
        <w:t xml:space="preserve">Iturria: </w:t>
      </w:r>
      <w:r>
        <w:rPr/>
        <w:t>Eusko Jaurlaritzaren Lurralde Plangintza, Etxebizitza eta Garraio Saila</w:t>
      </w:r>
      <w:r>
        <w:rPr>
          <w:rStyle w:val="IturriaKar"/>
        </w:rPr>
        <w:t>.</w:t>
      </w:r>
    </w:p>
    <w:p>
      <w:pPr>
        <w:pStyle w:val="Iturria"/>
        <w:rPr>
          <w:rStyle w:val="IturriaKar"/>
        </w:rPr>
      </w:pPr>
      <w:r>
        <w:rPr/>
      </w:r>
    </w:p>
    <w:p>
      <w:pPr>
        <w:pStyle w:val="Iturria"/>
        <w:rPr>
          <w:rStyle w:val="IturriaKar"/>
        </w:rPr>
      </w:pPr>
      <w:r>
        <w:rPr/>
      </w:r>
    </w:p>
    <w:p>
      <w:pPr>
        <w:pStyle w:val="Iturria"/>
        <w:rPr>
          <w:rStyle w:val="IturriaKar"/>
        </w:rPr>
      </w:pPr>
      <w:r>
        <w:rPr/>
      </w:r>
    </w:p>
    <w:p>
      <w:pPr>
        <w:pStyle w:val="Caption"/>
        <w:rPr/>
      </w:pPr>
      <w:bookmarkStart w:id="257" w:name="_Toc191031172"/>
      <w:bookmarkStart w:id="258" w:name="_Toc176340780"/>
      <w:bookmarkStart w:id="259" w:name="_Toc171936706"/>
      <w:bookmarkStart w:id="260" w:name="_Ref175911819"/>
      <w:r>
        <w:rPr/>
        <w:fldChar w:fldCharType="begin"/>
      </w:r>
      <w:r>
        <w:rPr/>
        <w:instrText xml:space="preserve"> SEQ Taula \* ARABIC </w:instrText>
      </w:r>
      <w:r>
        <w:rPr/>
        <w:fldChar w:fldCharType="separate"/>
      </w:r>
      <w:r>
        <w:rPr/>
        <w:t>29</w:t>
      </w:r>
      <w:r>
        <w:rPr/>
        <w:fldChar w:fldCharType="end"/>
      </w:r>
      <w:r>
        <w:rPr/>
        <w:t>. Taula</w:t>
      </w:r>
      <w:bookmarkEnd w:id="260"/>
      <w:r>
        <w:rPr/>
        <w:t>: Etxebizitza eskaria kide kopuruaren eta bizilekuaren arabera (kop.).</w:t>
        <w:br/>
        <w:t>Pasaia, 2024</w:t>
      </w:r>
      <w:bookmarkEnd w:id="258"/>
      <w:bookmarkEnd w:id="259"/>
      <w:r>
        <w:rPr>
          <w:rStyle w:val="Ancladenotaalpie"/>
        </w:rPr>
        <w:footnoteReference w:id="12"/>
      </w:r>
      <w:bookmarkEnd w:id="257"/>
    </w:p>
    <w:tbl>
      <w:tblPr>
        <w:tblW w:w="8168"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407"/>
        <w:gridCol w:w="964"/>
        <w:gridCol w:w="1043"/>
        <w:gridCol w:w="873"/>
        <w:gridCol w:w="964"/>
        <w:gridCol w:w="1043"/>
        <w:gridCol w:w="873"/>
      </w:tblGrid>
      <w:tr>
        <w:trPr>
          <w:trHeight w:val="300" w:hRule="atLeast"/>
        </w:trPr>
        <w:tc>
          <w:tcPr>
            <w:tcW w:w="2407" w:type="dxa"/>
            <w:tcBorders>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 </w:t>
            </w:r>
          </w:p>
        </w:tc>
        <w:tc>
          <w:tcPr>
            <w:tcW w:w="2880" w:type="dxa"/>
            <w:gridSpan w:val="3"/>
            <w:tcBorders>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erroldatuak</w:t>
            </w:r>
          </w:p>
        </w:tc>
        <w:tc>
          <w:tcPr>
            <w:tcW w:w="2880" w:type="dxa"/>
            <w:gridSpan w:val="3"/>
            <w:tcBorders>
              <w:left w:val="single" w:sz="4" w:space="0" w:color="000000"/>
              <w:bottom w:val="single" w:sz="4" w:space="0" w:color="000000"/>
              <w:right w:val="single" w:sz="4" w:space="0" w:color="246873"/>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ez erroldatuak</w:t>
            </w:r>
          </w:p>
        </w:tc>
      </w:tr>
      <w:tr>
        <w:trPr>
          <w:trHeight w:val="300" w:hRule="atLeast"/>
        </w:trPr>
        <w:tc>
          <w:tcPr>
            <w:tcW w:w="2407" w:type="dxa"/>
            <w:tcBorders>
              <w:top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Eskatzaileen Kide kopurua</w:t>
            </w:r>
          </w:p>
        </w:tc>
        <w:tc>
          <w:tcPr>
            <w:tcW w:w="96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87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c>
          <w:tcPr>
            <w:tcW w:w="96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873" w:type="dxa"/>
            <w:tcBorders>
              <w:top w:val="single" w:sz="4" w:space="0" w:color="000000"/>
              <w:left w:val="single" w:sz="4" w:space="0" w:color="000000"/>
              <w:bottom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240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 kide</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388</w:t>
            </w:r>
          </w:p>
        </w:tc>
        <w:tc>
          <w:tcPr>
            <w:tcW w:w="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525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233</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367</w:t>
            </w:r>
          </w:p>
        </w:tc>
      </w:tr>
      <w:tr>
        <w:trPr>
          <w:trHeight w:val="300" w:hRule="atLeast"/>
        </w:trPr>
        <w:tc>
          <w:tcPr>
            <w:tcW w:w="240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 kide</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160</w:t>
            </w:r>
          </w:p>
        </w:tc>
        <w:tc>
          <w:tcPr>
            <w:tcW w:w="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w:t>
            </w:r>
          </w:p>
        </w:tc>
      </w:tr>
      <w:tr>
        <w:trPr>
          <w:trHeight w:val="300" w:hRule="atLeast"/>
        </w:trPr>
        <w:tc>
          <w:tcPr>
            <w:tcW w:w="240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 kide</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194</w:t>
            </w:r>
          </w:p>
        </w:tc>
        <w:tc>
          <w:tcPr>
            <w:tcW w:w="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86</w:t>
            </w:r>
          </w:p>
        </w:tc>
      </w:tr>
      <w:tr>
        <w:trPr>
          <w:trHeight w:val="300" w:hRule="atLeast"/>
        </w:trPr>
        <w:tc>
          <w:tcPr>
            <w:tcW w:w="240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ascii="Aptos Narrow" w:hAnsi="Aptos Narrow"/>
                <w:color w:val="000000"/>
                <w:kern w:val="0"/>
                <w:sz w:val="20"/>
                <w:szCs w:val="20"/>
                <w:lang w:eastAsia="eu-ES"/>
                <w14:ligatures w14:val="none"/>
              </w:rPr>
              <w:t>≥</w:t>
            </w:r>
            <w:r>
              <w:rPr>
                <w:rFonts w:eastAsia="Times New Roman" w:cs="Calibri Light"/>
                <w:color w:val="000000"/>
                <w:kern w:val="0"/>
                <w:sz w:val="20"/>
                <w:szCs w:val="20"/>
                <w:lang w:eastAsia="eu-ES"/>
                <w14:ligatures w14:val="none"/>
              </w:rPr>
              <w:t>5 kide</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w:t>
            </w:r>
          </w:p>
        </w:tc>
        <w:tc>
          <w:tcPr>
            <w:tcW w:w="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w:t>
            </w:r>
          </w:p>
        </w:tc>
      </w:tr>
      <w:tr>
        <w:trPr>
          <w:trHeight w:val="300" w:hRule="atLeast"/>
        </w:trPr>
        <w:tc>
          <w:tcPr>
            <w:tcW w:w="2407" w:type="dxa"/>
            <w:tcBorders>
              <w:top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6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188</w:t>
            </w:r>
          </w:p>
        </w:tc>
        <w:tc>
          <w:tcPr>
            <w:tcW w:w="104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774</w:t>
            </w:r>
          </w:p>
        </w:tc>
        <w:tc>
          <w:tcPr>
            <w:tcW w:w="87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962</w:t>
            </w:r>
          </w:p>
        </w:tc>
        <w:tc>
          <w:tcPr>
            <w:tcW w:w="96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w:t>
            </w:r>
          </w:p>
        </w:tc>
        <w:tc>
          <w:tcPr>
            <w:tcW w:w="104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383</w:t>
            </w:r>
          </w:p>
        </w:tc>
        <w:tc>
          <w:tcPr>
            <w:tcW w:w="873" w:type="dxa"/>
            <w:tcBorders>
              <w:top w:val="single" w:sz="4" w:space="0" w:color="000000"/>
              <w:lef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549</w:t>
            </w:r>
          </w:p>
        </w:tc>
      </w:tr>
    </w:tbl>
    <w:p>
      <w:pPr>
        <w:pStyle w:val="Iturria"/>
        <w:rPr>
          <w:rStyle w:val="IturriaKar"/>
        </w:rPr>
      </w:pPr>
      <w:r>
        <w:rPr>
          <w:rStyle w:val="IturriaKar"/>
        </w:rPr>
        <w:t xml:space="preserve">Iturria: </w:t>
      </w:r>
      <w:r>
        <w:rPr/>
        <w:t>Eusko Jaurlaritzaren Lurralde Plangintza, Etxebizitza eta Garraio Saila</w:t>
      </w:r>
      <w:r>
        <w:rPr>
          <w:rStyle w:val="IturriaKar"/>
        </w:rPr>
        <w:t>.</w:t>
      </w:r>
    </w:p>
    <w:p>
      <w:pPr>
        <w:pStyle w:val="Iturria"/>
        <w:rPr/>
      </w:pPr>
      <w:r>
        <w:rPr/>
      </w:r>
    </w:p>
    <w:p>
      <w:pPr>
        <w:pStyle w:val="Caption"/>
        <w:rPr/>
      </w:pPr>
      <w:bookmarkStart w:id="261" w:name="_Toc191031129"/>
      <w:bookmarkStart w:id="262" w:name="_Toc176340743"/>
      <w:bookmarkStart w:id="263" w:name="_Toc171936667"/>
      <w:bookmarkStart w:id="264" w:name="_Ref175911787"/>
      <w:r>
        <w:rPr/>
        <w:fldChar w:fldCharType="begin"/>
      </w:r>
      <w:r>
        <w:rPr/>
        <w:instrText xml:space="preserve"> SEQ Grafikoa \* ARABIC </w:instrText>
      </w:r>
      <w:r>
        <w:rPr/>
        <w:fldChar w:fldCharType="separate"/>
      </w:r>
      <w:r>
        <w:rPr/>
        <w:t>55</w:t>
      </w:r>
      <w:r>
        <w:rPr/>
        <w:fldChar w:fldCharType="end"/>
      </w:r>
      <w:r>
        <w:rPr/>
        <w:t>. Grafikoa</w:t>
      </w:r>
      <w:bookmarkEnd w:id="264"/>
      <w:r>
        <w:rPr/>
        <w:t>: Etxebizitza eskaria kide kopuruaren eta bizilekuaren arabera (%).</w:t>
        <w:br/>
        <w:t>Pasaia, 2024</w:t>
      </w:r>
      <w:bookmarkEnd w:id="261"/>
      <w:bookmarkEnd w:id="262"/>
      <w:bookmarkEnd w:id="263"/>
    </w:p>
    <w:p>
      <w:pPr>
        <w:pStyle w:val="Iturria"/>
        <w:rPr>
          <w:rStyle w:val="IturriaKar"/>
        </w:rPr>
      </w:pPr>
      <w:r>
        <w:rPr/>
        <w:drawing>
          <wp:inline distT="0" distB="0" distL="0" distR="0">
            <wp:extent cx="5391150" cy="3200400"/>
            <wp:effectExtent l="0" t="0" r="0" b="0"/>
            <wp:docPr id="64" name="Imagen50" descr="Hau duen irudia testua, pantaila-argazkia, diagram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50" descr="Hau duen irudia testua, pantaila-argazkia, diagrama, Bataiarri&#10;&#10;Baliteke AAk sortutako edukia zuzena ez izatea."/>
                    <pic:cNvPicPr>
                      <a:picLocks noChangeAspect="1" noChangeArrowheads="1"/>
                    </pic:cNvPicPr>
                  </pic:nvPicPr>
                  <pic:blipFill>
                    <a:blip r:embed="rId65"/>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 xml:space="preserve">Iturria: </w:t>
      </w:r>
      <w:r>
        <w:rPr/>
        <w:t>Eusko Jaurlaritzaren Lurralde Plangintza, Etxebizitza eta Garraio Saila</w:t>
      </w:r>
      <w:r>
        <w:rPr>
          <w:rStyle w:val="IturriaKar"/>
        </w:rPr>
        <w:t>.</w:t>
      </w:r>
    </w:p>
    <w:p>
      <w:pPr>
        <w:pStyle w:val="Iturria"/>
        <w:rPr/>
      </w:pPr>
      <w:r>
        <w:rPr/>
      </w:r>
    </w:p>
    <w:p>
      <w:pPr>
        <w:pStyle w:val="Iturria"/>
        <w:rPr/>
      </w:pPr>
      <w:r>
        <w:rPr/>
      </w:r>
    </w:p>
    <w:p>
      <w:pPr>
        <w:pStyle w:val="Iturria"/>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265" w:name="_Toc191031173"/>
      <w:bookmarkStart w:id="266" w:name="_Toc176340781"/>
      <w:bookmarkStart w:id="267" w:name="_Toc171936707"/>
      <w:bookmarkStart w:id="268" w:name="_Ref175911825"/>
      <w:r>
        <w:rPr/>
        <w:fldChar w:fldCharType="begin"/>
      </w:r>
      <w:r>
        <w:rPr/>
        <w:instrText xml:space="preserve"> SEQ Taula \* ARABIC </w:instrText>
      </w:r>
      <w:r>
        <w:rPr/>
        <w:fldChar w:fldCharType="separate"/>
      </w:r>
      <w:r>
        <w:rPr/>
        <w:t>30</w:t>
      </w:r>
      <w:r>
        <w:rPr/>
        <w:fldChar w:fldCharType="end"/>
      </w:r>
      <w:r>
        <w:rPr/>
        <w:t>. Taula</w:t>
      </w:r>
      <w:bookmarkEnd w:id="268"/>
      <w:r>
        <w:rPr/>
        <w:t>: Etxebizitza eskaria generoaren eta bizilekuaren arabera (kop.).</w:t>
        <w:br/>
        <w:t>Pasaia, 2024</w:t>
      </w:r>
      <w:bookmarkEnd w:id="265"/>
      <w:bookmarkEnd w:id="266"/>
      <w:bookmarkEnd w:id="267"/>
    </w:p>
    <w:tbl>
      <w:tblPr>
        <w:tblW w:w="777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010"/>
        <w:gridCol w:w="964"/>
        <w:gridCol w:w="1043"/>
        <w:gridCol w:w="872"/>
        <w:gridCol w:w="964"/>
        <w:gridCol w:w="1043"/>
        <w:gridCol w:w="873"/>
      </w:tblGrid>
      <w:tr>
        <w:trPr>
          <w:trHeight w:val="300" w:hRule="atLeast"/>
        </w:trPr>
        <w:tc>
          <w:tcPr>
            <w:tcW w:w="2010" w:type="dxa"/>
            <w:tcBorders>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 </w:t>
            </w:r>
          </w:p>
        </w:tc>
        <w:tc>
          <w:tcPr>
            <w:tcW w:w="2879" w:type="dxa"/>
            <w:gridSpan w:val="3"/>
            <w:tcBorders>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erroldatuak</w:t>
            </w:r>
          </w:p>
        </w:tc>
        <w:tc>
          <w:tcPr>
            <w:tcW w:w="2880" w:type="dxa"/>
            <w:gridSpan w:val="3"/>
            <w:tcBorders>
              <w:left w:val="single" w:sz="4" w:space="0" w:color="000000"/>
              <w:bottom w:val="single" w:sz="4" w:space="0" w:color="000000"/>
              <w:right w:val="single" w:sz="4" w:space="0" w:color="246873"/>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Udalerrian ez erroldatuak</w:t>
            </w:r>
          </w:p>
        </w:tc>
      </w:tr>
      <w:tr>
        <w:trPr>
          <w:trHeight w:val="300" w:hRule="atLeast"/>
        </w:trPr>
        <w:tc>
          <w:tcPr>
            <w:tcW w:w="2010" w:type="dxa"/>
            <w:tcBorders>
              <w:top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Eskatzaileen generoa</w:t>
            </w:r>
          </w:p>
        </w:tc>
        <w:tc>
          <w:tcPr>
            <w:tcW w:w="96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872"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c>
          <w:tcPr>
            <w:tcW w:w="964"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Erosketa</w:t>
            </w:r>
          </w:p>
        </w:tc>
        <w:tc>
          <w:tcPr>
            <w:tcW w:w="1043" w:type="dxa"/>
            <w:tcBorders>
              <w:top w:val="single" w:sz="4" w:space="0" w:color="000000"/>
              <w:left w:val="single" w:sz="4" w:space="0" w:color="000000"/>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Alokairua</w:t>
            </w:r>
          </w:p>
        </w:tc>
        <w:tc>
          <w:tcPr>
            <w:tcW w:w="873" w:type="dxa"/>
            <w:tcBorders>
              <w:top w:val="single" w:sz="4" w:space="0" w:color="000000"/>
              <w:left w:val="single" w:sz="4" w:space="0" w:color="000000"/>
              <w:bottom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00" w:hRule="atLeast"/>
        </w:trPr>
        <w:tc>
          <w:tcPr>
            <w:tcW w:w="201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Biak</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194</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103</w:t>
            </w:r>
          </w:p>
        </w:tc>
      </w:tr>
      <w:tr>
        <w:trPr>
          <w:trHeight w:val="300" w:hRule="atLeast"/>
        </w:trPr>
        <w:tc>
          <w:tcPr>
            <w:tcW w:w="201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261</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341</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138</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w:t>
            </w:r>
          </w:p>
        </w:tc>
      </w:tr>
      <w:tr>
        <w:trPr>
          <w:trHeight w:val="300" w:hRule="atLeast"/>
        </w:trPr>
        <w:tc>
          <w:tcPr>
            <w:tcW w:w="201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319</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382</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162</w:t>
            </w:r>
          </w:p>
        </w:tc>
        <w:tc>
          <w:tcPr>
            <w:tcW w:w="87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242</w:t>
            </w:r>
          </w:p>
        </w:tc>
      </w:tr>
      <w:tr>
        <w:trPr>
          <w:trHeight w:val="300" w:hRule="atLeast"/>
        </w:trPr>
        <w:tc>
          <w:tcPr>
            <w:tcW w:w="2010" w:type="dxa"/>
            <w:tcBorders>
              <w:top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96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188</w:t>
            </w:r>
          </w:p>
        </w:tc>
        <w:tc>
          <w:tcPr>
            <w:tcW w:w="104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774</w:t>
            </w:r>
          </w:p>
        </w:tc>
        <w:tc>
          <w:tcPr>
            <w:tcW w:w="872"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962</w:t>
            </w:r>
          </w:p>
        </w:tc>
        <w:tc>
          <w:tcPr>
            <w:tcW w:w="964"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166</w:t>
            </w:r>
          </w:p>
        </w:tc>
        <w:tc>
          <w:tcPr>
            <w:tcW w:w="104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383</w:t>
            </w:r>
          </w:p>
        </w:tc>
        <w:tc>
          <w:tcPr>
            <w:tcW w:w="873" w:type="dxa"/>
            <w:tcBorders>
              <w:top w:val="single" w:sz="4" w:space="0" w:color="000000"/>
              <w:left w:val="single" w:sz="4" w:space="0" w:color="000000"/>
            </w:tcBorders>
            <w:shd w:color="auto" w:fill="auto" w:val="clear"/>
            <w:vAlign w:val="center"/>
          </w:tcPr>
          <w:p>
            <w:pPr>
              <w:pStyle w:val="Normal"/>
              <w:widowControl w:val="false"/>
              <w:spacing w:lineRule="auto" w:line="240" w:before="0" w:after="0"/>
              <w:jc w:val="right"/>
              <w:rPr>
                <w:rFonts w:eastAsia="Times New Roman"/>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549</w:t>
            </w:r>
          </w:p>
        </w:tc>
      </w:tr>
    </w:tbl>
    <w:p>
      <w:pPr>
        <w:pStyle w:val="Iturria"/>
        <w:rPr>
          <w:rStyle w:val="IturriaKar"/>
        </w:rPr>
      </w:pPr>
      <w:r>
        <w:rPr>
          <w:rStyle w:val="IturriaKar"/>
        </w:rPr>
        <w:t xml:space="preserve">Iturria: </w:t>
      </w:r>
      <w:r>
        <w:rPr/>
        <w:t>Eusko Jaurlaritzaren Lurralde Plangintza, Etxebizitza eta Garraio Saila</w:t>
      </w:r>
      <w:r>
        <w:rPr>
          <w:rStyle w:val="IturriaKar"/>
        </w:rPr>
        <w:t>.</w:t>
      </w:r>
    </w:p>
    <w:p>
      <w:pPr>
        <w:pStyle w:val="Iturria"/>
        <w:rPr/>
      </w:pPr>
      <w:r>
        <w:rPr/>
      </w:r>
    </w:p>
    <w:p>
      <w:pPr>
        <w:pStyle w:val="Caption"/>
        <w:rPr/>
      </w:pPr>
      <w:bookmarkStart w:id="269" w:name="_Toc191031130"/>
      <w:bookmarkStart w:id="270" w:name="_Toc176340744"/>
      <w:bookmarkStart w:id="271" w:name="_Toc171936668"/>
      <w:bookmarkStart w:id="272" w:name="_Ref175911797"/>
      <w:r>
        <w:rPr/>
        <w:fldChar w:fldCharType="begin"/>
      </w:r>
      <w:r>
        <w:rPr/>
        <w:instrText xml:space="preserve"> SEQ Grafikoa \* ARABIC </w:instrText>
      </w:r>
      <w:r>
        <w:rPr/>
        <w:fldChar w:fldCharType="separate"/>
      </w:r>
      <w:r>
        <w:rPr/>
        <w:t>56</w:t>
      </w:r>
      <w:r>
        <w:rPr/>
        <w:fldChar w:fldCharType="end"/>
      </w:r>
      <w:r>
        <w:rPr/>
        <w:t>. Grafikoa</w:t>
      </w:r>
      <w:bookmarkEnd w:id="272"/>
      <w:r>
        <w:rPr/>
        <w:t>: Etxebizitza eskaria generoaren eta bizilekuaren arabera (%).</w:t>
        <w:br/>
        <w:t>Pasaia, 2024</w:t>
      </w:r>
      <w:bookmarkEnd w:id="269"/>
      <w:bookmarkEnd w:id="270"/>
      <w:bookmarkEnd w:id="271"/>
    </w:p>
    <w:p>
      <w:pPr>
        <w:pStyle w:val="Iturria"/>
        <w:rPr>
          <w:rStyle w:val="IturriaKar"/>
        </w:rPr>
      </w:pPr>
      <w:r>
        <w:rPr/>
        <w:drawing>
          <wp:inline distT="0" distB="0" distL="0" distR="0">
            <wp:extent cx="5391150" cy="3200400"/>
            <wp:effectExtent l="0" t="0" r="0" b="0"/>
            <wp:docPr id="65" name="Imagen51" descr="Hau duen irudia testua, pantaila-argazkia, diagrama, Bataiarri&#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51" descr="Hau duen irudia testua, pantaila-argazkia, diagrama, Bataiarri&#10;&#10;Baliteke AAk sortutako edukia zuzena ez izatea."/>
                    <pic:cNvPicPr>
                      <a:picLocks noChangeAspect="1" noChangeArrowheads="1"/>
                    </pic:cNvPicPr>
                  </pic:nvPicPr>
                  <pic:blipFill>
                    <a:blip r:embed="rId66"/>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 xml:space="preserve">Iturria: </w:t>
      </w:r>
      <w:r>
        <w:rPr/>
        <w:t>Eusko Jaurlaritzaren Lurralde Plangintza, Etxebizitza eta Garraio Saila</w:t>
      </w:r>
      <w:r>
        <w:rPr>
          <w:rStyle w:val="IturriaKar"/>
        </w:rPr>
        <w:t>.</w:t>
      </w:r>
    </w:p>
    <w:p>
      <w:pPr>
        <w:pStyle w:val="Normal"/>
        <w:rPr/>
      </w:pPr>
      <w:r>
        <w:rPr/>
      </w:r>
      <w:r>
        <w:br w:type="page"/>
      </w:r>
    </w:p>
    <w:p>
      <w:pPr>
        <w:pStyle w:val="Ttulo1"/>
        <w:rPr/>
      </w:pPr>
      <w:bookmarkStart w:id="273" w:name="_Toc191031055"/>
      <w:r>
        <w:rPr/>
        <w:t>Erosketa erregimeneko etxebizitza merkatua</w:t>
      </w:r>
      <w:bookmarkEnd w:id="273"/>
    </w:p>
    <w:p>
      <w:pPr>
        <w:pStyle w:val="Normal"/>
        <w:jc w:val="both"/>
        <w:rPr/>
      </w:pPr>
      <w:r>
        <w:rPr/>
        <w:t>Etxebizitzaren salerosketa kopuruak eta prezioak udalerri bateko etxebizitzen eskaintza eta eskariaren arteko harremana ezagutzeko lagungarri gertatzen dira. Atal honetan jabetzan hartutako etxebizitzen ezaugarri eta prezioari lotutako aldagai desberdinak aztertzen dira.</w:t>
      </w:r>
    </w:p>
    <w:p>
      <w:pPr>
        <w:pStyle w:val="Ttulo2"/>
        <w:rPr/>
      </w:pPr>
      <w:bookmarkStart w:id="274" w:name="_Toc191031056"/>
      <w:r>
        <w:rPr/>
        <w:t>Aldagai nagusiak</w:t>
      </w:r>
      <w:bookmarkEnd w:id="274"/>
    </w:p>
    <w:p>
      <w:pPr>
        <w:pStyle w:val="Normal"/>
        <w:jc w:val="both"/>
        <w:rPr/>
      </w:pPr>
      <w:bookmarkStart w:id="275" w:name="_Hlk190863934"/>
      <w:r>
        <w:rPr/>
        <w:t xml:space="preserve">2004-2024 urteen artean 3.035 salerosketa erregistratu dira udalerrian. Pasaiako biztanleko etxebizitzen salerosketa maila, oro har, Oarsoaldearen, Donostialdearen, Gipuzkoaren zein EAEren parekoa izan da. 2014 urtean erreferentziazko eremuetan baino salerosketa handiagoa antzematen da, Antxoko etxebizitza berrien salmentarekin eta biztanleriaren hazkundearekin bat datorrena. Salerosketa gehienak bigarren eskuko etxebizitzenak izan dira (%84,6), eta salerosketa guztien %94,5 etxebizitza libreak izan dira. Bide horretan, azpimarratu behar da 2014 eta 2015 urteetan egin ziren 197 etxebizitza berrien ia %80a (157 etxebizitza) babes ofizialekoak izan zirela </w:t>
      </w:r>
      <w:bookmarkEnd w:id="275"/>
      <w:r>
        <w:rPr/>
        <w:t xml:space="preserve">(ikus </w:t>
      </w:r>
      <w:r>
        <w:rPr/>
        <w:fldChar w:fldCharType="begin"/>
      </w:r>
      <w:r>
        <w:rPr/>
        <w:instrText xml:space="preserve"> REF _Ref176949647 \h </w:instrText>
      </w:r>
      <w:r>
        <w:rPr/>
        <w:fldChar w:fldCharType="separate"/>
      </w:r>
      <w:r>
        <w:rPr/>
        <w:t>57. Grafikoa</w:t>
      </w:r>
      <w:r>
        <w:rPr/>
        <w:fldChar w:fldCharType="end"/>
      </w:r>
      <w:r>
        <w:rPr/>
        <w:t xml:space="preserve">, </w:t>
      </w:r>
      <w:r>
        <w:rPr/>
        <w:fldChar w:fldCharType="begin"/>
      </w:r>
      <w:r>
        <w:rPr/>
        <w:instrText xml:space="preserve"> REF _Ref176949656 \h </w:instrText>
      </w:r>
      <w:r>
        <w:rPr/>
        <w:fldChar w:fldCharType="separate"/>
      </w:r>
      <w:r>
        <w:rPr/>
        <w:t>58. Grafikoa</w:t>
      </w:r>
      <w:r>
        <w:rPr/>
        <w:fldChar w:fldCharType="end"/>
      </w:r>
      <w:r>
        <w:rPr/>
        <w:t xml:space="preserve">, </w:t>
      </w:r>
      <w:r>
        <w:rPr/>
        <w:fldChar w:fldCharType="begin"/>
      </w:r>
      <w:r>
        <w:rPr/>
        <w:instrText xml:space="preserve"> REF _Ref176949663 \h </w:instrText>
      </w:r>
      <w:r>
        <w:rPr/>
        <w:fldChar w:fldCharType="separate"/>
      </w:r>
      <w:r>
        <w:rPr/>
        <w:t>59. Grafikoa</w:t>
      </w:r>
      <w:r>
        <w:rPr/>
        <w:fldChar w:fldCharType="end"/>
      </w:r>
      <w:r>
        <w:rPr/>
        <w:t xml:space="preserve"> eta </w:t>
      </w:r>
      <w:r>
        <w:rPr/>
        <w:fldChar w:fldCharType="begin"/>
      </w:r>
      <w:r>
        <w:rPr/>
        <w:instrText xml:space="preserve"> REF _Ref190845528 \h </w:instrText>
      </w:r>
      <w:r>
        <w:rPr/>
        <w:fldChar w:fldCharType="separate"/>
      </w:r>
      <w:r>
        <w:rPr/>
        <w:t>31. Taula</w:t>
      </w:r>
      <w:r>
        <w:rPr/>
        <w:fldChar w:fldCharType="end"/>
      </w:r>
      <w:r>
        <w:rPr/>
        <w:t>).</w:t>
      </w:r>
    </w:p>
    <w:p>
      <w:pPr>
        <w:pStyle w:val="Caption"/>
        <w:rPr/>
      </w:pPr>
      <w:bookmarkStart w:id="276" w:name="_Toc191031131"/>
      <w:bookmarkStart w:id="277" w:name="_Ref176949647"/>
      <w:r>
        <w:rPr/>
        <w:fldChar w:fldCharType="begin"/>
      </w:r>
      <w:r>
        <w:rPr/>
        <w:instrText xml:space="preserve"> SEQ Grafikoa \* ARABIC </w:instrText>
      </w:r>
      <w:r>
        <w:rPr/>
        <w:fldChar w:fldCharType="separate"/>
      </w:r>
      <w:r>
        <w:rPr/>
        <w:t>57</w:t>
      </w:r>
      <w:r>
        <w:rPr/>
        <w:fldChar w:fldCharType="end"/>
      </w:r>
      <w:r>
        <w:rPr/>
        <w:t>. Grafikoa</w:t>
      </w:r>
      <w:bookmarkEnd w:id="277"/>
      <w:r>
        <w:rPr/>
        <w:t>: Etxebizitza salerosketak biztanleko ratioaren bilakaera (‰).</w:t>
        <w:br/>
        <w:t>Pasaia eta bere testuingurua, 2004-2023</w:t>
      </w:r>
      <w:bookmarkEnd w:id="276"/>
    </w:p>
    <w:p>
      <w:pPr>
        <w:pStyle w:val="Iturria"/>
        <w:rPr>
          <w:rStyle w:val="IturriaKar"/>
        </w:rPr>
      </w:pPr>
      <w:r>
        <w:rPr/>
        <w:drawing>
          <wp:inline distT="0" distB="0" distL="0" distR="0">
            <wp:extent cx="5391150" cy="3200400"/>
            <wp:effectExtent l="0" t="0" r="0" b="0"/>
            <wp:docPr id="66" name="Imagen52" descr="Hau duen irudia Lurrazala, lerroa, diagram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52" descr="Hau duen irudia Lurrazala, lerroa, diagrama&#10;&#10;Baliteke AAk sortutako edukia zuzena ez izatea."/>
                    <pic:cNvPicPr>
                      <a:picLocks noChangeAspect="1" noChangeArrowheads="1"/>
                    </pic:cNvPicPr>
                  </pic:nvPicPr>
                  <pic:blipFill>
                    <a:blip r:embed="rId67"/>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w:t>
      </w:r>
      <w:r>
        <w:rPr/>
        <w:t xml:space="preserve"> Espainiako Garraio eta Iraunkortasun Mugikorreko Ministerioa eta INE</w:t>
      </w:r>
      <w:r>
        <w:rPr>
          <w:rStyle w:val="IturriaKar"/>
        </w:rPr>
        <w:t>.</w:t>
      </w:r>
    </w:p>
    <w:p>
      <w:pPr>
        <w:pStyle w:val="Iturria"/>
        <w:rPr>
          <w:rStyle w:val="IturriaKar"/>
        </w:rPr>
      </w:pPr>
      <w:r>
        <w:rPr/>
      </w:r>
    </w:p>
    <w:p>
      <w:pPr>
        <w:pStyle w:val="Normal"/>
        <w:rPr>
          <w:rStyle w:val="IturriaKar"/>
        </w:rPr>
      </w:pPr>
      <w:r>
        <w:rPr/>
      </w:r>
      <w:r>
        <w:br w:type="page"/>
      </w:r>
    </w:p>
    <w:p>
      <w:pPr>
        <w:pStyle w:val="Caption"/>
        <w:rPr/>
      </w:pPr>
      <w:bookmarkStart w:id="278" w:name="_Toc191031174"/>
      <w:bookmarkStart w:id="279" w:name="_Ref190845528"/>
      <w:bookmarkStart w:id="280" w:name="_Ref176949636"/>
      <w:r>
        <w:rPr/>
        <w:fldChar w:fldCharType="begin"/>
      </w:r>
      <w:r>
        <w:rPr/>
        <w:instrText xml:space="preserve"> SEQ Taula \* ARABIC </w:instrText>
      </w:r>
      <w:r>
        <w:rPr/>
        <w:fldChar w:fldCharType="separate"/>
      </w:r>
      <w:r>
        <w:rPr/>
        <w:t>31</w:t>
      </w:r>
      <w:r>
        <w:rPr/>
        <w:fldChar w:fldCharType="end"/>
      </w:r>
      <w:r>
        <w:rPr/>
        <w:t>. Taula</w:t>
      </w:r>
      <w:bookmarkEnd w:id="279"/>
      <w:bookmarkEnd w:id="280"/>
      <w:r>
        <w:rPr/>
        <w:t>: Etxebizitza salerosketak antzinatasunaren eta jabetzaren arabera.</w:t>
        <w:br/>
        <w:t>Pasaia, 2004-2024</w:t>
      </w:r>
      <w:r>
        <w:rPr>
          <w:rStyle w:val="Ancladenotaalpie"/>
        </w:rPr>
        <w:footnoteReference w:id="13"/>
      </w:r>
      <w:bookmarkEnd w:id="278"/>
    </w:p>
    <w:tbl>
      <w:tblPr>
        <w:tblW w:w="737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385"/>
        <w:gridCol w:w="1495"/>
        <w:gridCol w:w="1515"/>
        <w:gridCol w:w="1560"/>
        <w:gridCol w:w="1417"/>
      </w:tblGrid>
      <w:tr>
        <w:trPr>
          <w:trHeight w:val="300" w:hRule="atLeast"/>
        </w:trPr>
        <w:tc>
          <w:tcPr>
            <w:tcW w:w="1385" w:type="dxa"/>
            <w:vMerge w:val="restart"/>
            <w:tcBorders>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Urtea</w:t>
            </w:r>
          </w:p>
        </w:tc>
        <w:tc>
          <w:tcPr>
            <w:tcW w:w="3010" w:type="dxa"/>
            <w:gridSpan w:val="2"/>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Antzinatasuna</w:t>
            </w:r>
          </w:p>
        </w:tc>
        <w:tc>
          <w:tcPr>
            <w:tcW w:w="2977" w:type="dxa"/>
            <w:gridSpan w:val="2"/>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Jabetza</w:t>
            </w:r>
          </w:p>
        </w:tc>
      </w:tr>
      <w:tr>
        <w:trPr>
          <w:trHeight w:val="300" w:hRule="atLeast"/>
        </w:trPr>
        <w:tc>
          <w:tcPr>
            <w:tcW w:w="1385"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r>
          </w:p>
        </w:tc>
        <w:tc>
          <w:tcPr>
            <w:tcW w:w="149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Etxebizitza berriak</w:t>
            </w:r>
          </w:p>
        </w:tc>
        <w:tc>
          <w:tcPr>
            <w:tcW w:w="151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Bigarren eskuko etxebizitzak</w:t>
            </w:r>
          </w:p>
        </w:tc>
        <w:tc>
          <w:tcPr>
            <w:tcW w:w="15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Etxebizitza libreak</w:t>
            </w:r>
          </w:p>
        </w:tc>
        <w:tc>
          <w:tcPr>
            <w:tcW w:w="1417"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Etxebizitza babestuak</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2004</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2006</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140</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147</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2008</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2010</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109</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138</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2012</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2014</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132</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117</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2016</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122</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122</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2018</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181</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206</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2020</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134</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137</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2022</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192</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192</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r>
      <w:tr>
        <w:trPr>
          <w:trHeight w:val="300" w:hRule="atLeast"/>
        </w:trPr>
        <w:tc>
          <w:tcPr>
            <w:tcW w:w="138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2024</w:t>
            </w:r>
          </w:p>
        </w:tc>
        <w:tc>
          <w:tcPr>
            <w:tcW w:w="14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151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121</w:t>
            </w:r>
          </w:p>
        </w:tc>
        <w:tc>
          <w:tcPr>
            <w:tcW w:w="15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123</w:t>
            </w:r>
          </w:p>
        </w:tc>
        <w:tc>
          <w:tcPr>
            <w:tcW w:w="1417"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00" w:hRule="atLeast"/>
        </w:trPr>
        <w:tc>
          <w:tcPr>
            <w:tcW w:w="1385"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49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466</w:t>
            </w:r>
          </w:p>
        </w:tc>
        <w:tc>
          <w:tcPr>
            <w:tcW w:w="151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2.569</w:t>
            </w:r>
          </w:p>
        </w:tc>
        <w:tc>
          <w:tcPr>
            <w:tcW w:w="15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2.872</w:t>
            </w:r>
          </w:p>
        </w:tc>
        <w:tc>
          <w:tcPr>
            <w:tcW w:w="1417"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163</w:t>
            </w:r>
          </w:p>
        </w:tc>
      </w:tr>
    </w:tbl>
    <w:p>
      <w:pPr>
        <w:pStyle w:val="Iturria"/>
        <w:rPr/>
      </w:pPr>
      <w:r>
        <w:rPr>
          <w:rStyle w:val="IturriaKar"/>
        </w:rPr>
        <w:t>Iturria:</w:t>
      </w:r>
      <w:r>
        <w:rPr/>
        <w:t xml:space="preserve"> Espainiako Garraio eta Iraunkortasun Mugikorreko Ministerioa</w:t>
      </w:r>
      <w:r>
        <w:rPr>
          <w:rStyle w:val="IturriaKar"/>
        </w:rPr>
        <w:t>.</w:t>
      </w:r>
    </w:p>
    <w:p>
      <w:pPr>
        <w:pStyle w:val="Iturria"/>
        <w:rPr>
          <w:rStyle w:val="IturriaKar"/>
        </w:rPr>
      </w:pPr>
      <w:r>
        <w:rPr/>
      </w:r>
    </w:p>
    <w:p>
      <w:pPr>
        <w:pStyle w:val="Caption"/>
        <w:rPr/>
      </w:pPr>
      <w:bookmarkStart w:id="281" w:name="_Toc191031132"/>
      <w:bookmarkStart w:id="282" w:name="_Ref176949656"/>
      <w:r>
        <w:rPr/>
        <w:fldChar w:fldCharType="begin"/>
      </w:r>
      <w:r>
        <w:rPr/>
        <w:instrText xml:space="preserve"> SEQ Grafikoa \* ARABIC </w:instrText>
      </w:r>
      <w:r>
        <w:rPr/>
        <w:fldChar w:fldCharType="separate"/>
      </w:r>
      <w:r>
        <w:rPr/>
        <w:t>58</w:t>
      </w:r>
      <w:r>
        <w:rPr/>
        <w:fldChar w:fldCharType="end"/>
      </w:r>
      <w:r>
        <w:rPr/>
        <w:t>. Grafikoa</w:t>
      </w:r>
      <w:bookmarkEnd w:id="282"/>
      <w:r>
        <w:rPr/>
        <w:t>: Etxebizitza salerosketen bilakaera antzinatasunaren arabera (kop.).</w:t>
        <w:br/>
        <w:t>Pasaia, 2004-2024</w:t>
      </w:r>
      <w:r>
        <w:rPr>
          <w:rStyle w:val="Ancladenotaalpie"/>
        </w:rPr>
        <w:footnoteReference w:id="14"/>
      </w:r>
      <w:bookmarkEnd w:id="281"/>
    </w:p>
    <w:p>
      <w:pPr>
        <w:pStyle w:val="Normal"/>
        <w:jc w:val="right"/>
        <w:rPr/>
      </w:pPr>
      <w:r>
        <w:rPr/>
        <w:drawing>
          <wp:inline distT="0" distB="0" distL="0" distR="0">
            <wp:extent cx="5391150" cy="3200400"/>
            <wp:effectExtent l="0" t="0" r="0" b="0"/>
            <wp:docPr id="67" name="Imagen53" descr="Hau duen irudia testua, Lurrazala, diagrama, pantaila-argazki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53" descr="Hau duen irudia testua, Lurrazala, diagrama, pantaila-argazkia&#10;&#10;Baliteke AAk sortutako edukia zuzena ez izatea."/>
                    <pic:cNvPicPr>
                      <a:picLocks noChangeAspect="1" noChangeArrowheads="1"/>
                    </pic:cNvPicPr>
                  </pic:nvPicPr>
                  <pic:blipFill>
                    <a:blip r:embed="rId68"/>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Espainiako Garraio eta Iraunkortasun Mugikorreko Ministerioa eta INE.</w:t>
      </w:r>
    </w:p>
    <w:p>
      <w:pPr>
        <w:pStyle w:val="Normal"/>
        <w:rPr/>
      </w:pPr>
      <w:r>
        <w:rPr/>
      </w:r>
      <w:r>
        <w:br w:type="page"/>
      </w:r>
    </w:p>
    <w:p>
      <w:pPr>
        <w:pStyle w:val="Caption"/>
        <w:rPr/>
      </w:pPr>
      <w:bookmarkStart w:id="283" w:name="_Toc191031133"/>
      <w:bookmarkStart w:id="284" w:name="_Ref176949663"/>
      <w:r>
        <w:rPr/>
        <w:fldChar w:fldCharType="begin"/>
      </w:r>
      <w:r>
        <w:rPr/>
        <w:instrText xml:space="preserve"> SEQ Grafikoa \* ARABIC </w:instrText>
      </w:r>
      <w:r>
        <w:rPr/>
        <w:fldChar w:fldCharType="separate"/>
      </w:r>
      <w:r>
        <w:rPr/>
        <w:t>59</w:t>
      </w:r>
      <w:r>
        <w:rPr/>
        <w:fldChar w:fldCharType="end"/>
      </w:r>
      <w:r>
        <w:rPr/>
        <w:t>. Grafikoa</w:t>
      </w:r>
      <w:bookmarkEnd w:id="284"/>
      <w:r>
        <w:rPr/>
        <w:t>: Etxebizitza salerosketen bilakaera jabetzaren arabera (kop.).</w:t>
        <w:br/>
        <w:t>Pasaia, 2004-2024</w:t>
      </w:r>
      <w:r>
        <w:rPr>
          <w:rStyle w:val="Ancladenotaalpie"/>
        </w:rPr>
        <w:footnoteReference w:id="15"/>
      </w:r>
      <w:bookmarkEnd w:id="283"/>
    </w:p>
    <w:p>
      <w:pPr>
        <w:pStyle w:val="Iturria"/>
        <w:rPr>
          <w:rStyle w:val="IturriaKar"/>
        </w:rPr>
      </w:pPr>
      <w:r>
        <w:rPr/>
        <w:drawing>
          <wp:inline distT="0" distB="0" distL="0" distR="0">
            <wp:extent cx="5391150" cy="3200400"/>
            <wp:effectExtent l="0" t="0" r="0" b="0"/>
            <wp:docPr id="68" name="Imagen54" descr="Hau duen irudia Lurrazala, diagrama, testua, pantaila-argazki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54" descr="Hau duen irudia Lurrazala, diagrama, testua, pantaila-argazkia&#10;&#10;Baliteke AAk sortutako edukia zuzena ez izatea."/>
                    <pic:cNvPicPr>
                      <a:picLocks noChangeAspect="1" noChangeArrowheads="1"/>
                    </pic:cNvPicPr>
                  </pic:nvPicPr>
                  <pic:blipFill>
                    <a:blip r:embed="rId69"/>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 xml:space="preserve">Iturria: Espainiako Garraio eta Iraunkortasun Mugikorreko </w:t>
      </w:r>
      <w:r>
        <w:rPr/>
        <w:t>Ministerioa</w:t>
      </w:r>
      <w:r>
        <w:rPr>
          <w:rStyle w:val="IturriaKar"/>
        </w:rPr>
        <w:t xml:space="preserve"> eta INE.</w:t>
      </w:r>
    </w:p>
    <w:p>
      <w:pPr>
        <w:pStyle w:val="Normal"/>
        <w:jc w:val="both"/>
        <w:rPr/>
      </w:pPr>
      <w:r>
        <w:rPr/>
        <w:t xml:space="preserve">Eusko Jaurlaritzaren Lurralde Plangintza, Etxebizitza eta Garraio Sailak eskuragarri jartzen dituen etxebizitza-salerosketen hiruhileko prezioetan ez da Pasaiako daturik ageri; 40.000 biztanletik gorako udalerrien informazioa bakarrik dago eskuragarri. Eskuragarri dauden datu estatistikoak erreferentzia hartuta ikusi daiteke </w:t>
      </w:r>
      <w:bookmarkStart w:id="285" w:name="_Hlk190864044"/>
      <w:r>
        <w:rPr/>
        <w:t>Donostialdeko azken urteko etxebizitzen prezioa (349.824€) Gipuzkoakoa (285.806€) eta EAEkoa (251.648€) askoz ere altuagoa izan dela. Nolanahi ere, Donostialdeko udalerrien barruan muturreko egoerak daude: Donostiako etxebizitzen prezio altuak (480.769€), batetik, eta hiriburuko etxebizitzaren prezioaren erdira iristen ez den Errenteria (210.037€), bestetik. Pentsa daiteke Pasaiako etxebizitzen salmentako prezioa, Donostialdeko udalerrietako familia-errentak alderatua, Errenterikoa baino txikiagoa izango dela</w:t>
      </w:r>
      <w:bookmarkEnd w:id="285"/>
      <w:r>
        <w:rPr/>
        <w:t xml:space="preserve"> (ikus </w:t>
      </w:r>
      <w:r>
        <w:rPr/>
        <w:fldChar w:fldCharType="begin"/>
      </w:r>
      <w:r>
        <w:rPr/>
        <w:instrText xml:space="preserve"> REF _Ref176949694 \h </w:instrText>
      </w:r>
      <w:r>
        <w:rPr/>
        <w:fldChar w:fldCharType="separate"/>
      </w:r>
      <w:r>
        <w:rPr/>
        <w:t>60. Grafikoa</w:t>
      </w:r>
      <w:r>
        <w:rPr/>
        <w:fldChar w:fldCharType="end"/>
      </w:r>
      <w:r>
        <w:rPr/>
        <w:t xml:space="preserve"> eta </w:t>
      </w:r>
      <w:r>
        <w:rPr/>
        <w:fldChar w:fldCharType="begin"/>
      </w:r>
      <w:r>
        <w:rPr/>
        <w:instrText xml:space="preserve"> REF _Ref176949719 \h </w:instrText>
      </w:r>
      <w:r>
        <w:rPr/>
        <w:fldChar w:fldCharType="separate"/>
      </w:r>
      <w:r>
        <w:rPr/>
        <w:t>32. Taula</w:t>
      </w:r>
      <w:r>
        <w:rPr/>
        <w:fldChar w:fldCharType="end"/>
      </w:r>
      <w:r>
        <w:rPr/>
        <w:t>).</w:t>
      </w:r>
    </w:p>
    <w:p>
      <w:pPr>
        <w:pStyle w:val="Normal"/>
        <w:jc w:val="both"/>
        <w:rPr/>
      </w:pPr>
      <w:r>
        <w:rPr/>
        <w:t xml:space="preserve">Etxebizitzaren metro karratuaren prezioarekin berdina gertatzen da: Errenterian azken urtean saldu diren etxebizitzen metro karratuaren prezioa 2.948,3€ izan dira, Donostiako prezioaren %52,1a (5.663,2€). Pentsa daiteke Donostialdeko biztanle asko, erosketa ahalmen baxukoak, bereziki, Pasaian etxebizitza erosteko aukera izan dutela (ikus </w:t>
      </w:r>
      <w:r>
        <w:rPr/>
        <w:fldChar w:fldCharType="begin"/>
      </w:r>
      <w:r>
        <w:rPr/>
        <w:instrText xml:space="preserve"> REF _Ref176949703 \h </w:instrText>
      </w:r>
      <w:r>
        <w:rPr/>
        <w:fldChar w:fldCharType="separate"/>
      </w:r>
      <w:r>
        <w:rPr/>
        <w:t>61. Grafikoa</w:t>
      </w:r>
      <w:r>
        <w:rPr/>
        <w:fldChar w:fldCharType="end"/>
      </w:r>
      <w:r>
        <w:rPr/>
        <w:t xml:space="preserve"> eta </w:t>
      </w:r>
      <w:r>
        <w:rPr/>
        <w:fldChar w:fldCharType="begin"/>
      </w:r>
      <w:r>
        <w:rPr/>
        <w:instrText xml:space="preserve"> REF _Ref176949728 \h </w:instrText>
      </w:r>
      <w:r>
        <w:rPr/>
        <w:fldChar w:fldCharType="separate"/>
      </w:r>
      <w:r>
        <w:rPr/>
        <w:t>33. Taula</w:t>
      </w:r>
      <w:r>
        <w:rPr/>
        <w:fldChar w:fldCharType="end"/>
      </w:r>
      <w:r>
        <w:rPr/>
        <w:t>).</w:t>
      </w:r>
    </w:p>
    <w:p>
      <w:pPr>
        <w:pStyle w:val="Iturria"/>
        <w:rPr>
          <w:color w:val="auto"/>
          <w:sz w:val="22"/>
          <w:szCs w:val="22"/>
        </w:rPr>
      </w:pPr>
      <w:r>
        <w:rPr>
          <w:color w:val="auto"/>
          <w:sz w:val="22"/>
          <w:szCs w:val="22"/>
        </w:rPr>
      </w:r>
    </w:p>
    <w:p>
      <w:pPr>
        <w:pStyle w:val="Normal"/>
        <w:rPr/>
      </w:pPr>
      <w:r>
        <w:rPr/>
      </w:r>
    </w:p>
    <w:p>
      <w:pPr>
        <w:pStyle w:val="Normal"/>
        <w:rPr/>
      </w:pPr>
      <w:r>
        <w:rPr/>
      </w:r>
      <w:r>
        <w:br w:type="page"/>
      </w:r>
    </w:p>
    <w:p>
      <w:pPr>
        <w:pStyle w:val="Caption"/>
        <w:rPr/>
      </w:pPr>
      <w:bookmarkStart w:id="286" w:name="_Toc191031134"/>
      <w:bookmarkStart w:id="287" w:name="_Ref176949694"/>
      <w:r>
        <w:rPr/>
        <w:fldChar w:fldCharType="begin"/>
      </w:r>
      <w:r>
        <w:rPr/>
        <w:instrText xml:space="preserve"> SEQ Grafikoa \* ARABIC </w:instrText>
      </w:r>
      <w:r>
        <w:rPr/>
        <w:fldChar w:fldCharType="separate"/>
      </w:r>
      <w:r>
        <w:rPr/>
        <w:t>60</w:t>
      </w:r>
      <w:r>
        <w:rPr/>
        <w:fldChar w:fldCharType="end"/>
      </w:r>
      <w:r>
        <w:rPr/>
        <w:t>. Grafikoa</w:t>
      </w:r>
      <w:bookmarkEnd w:id="287"/>
      <w:r>
        <w:rPr/>
        <w:t>: Etxebizitza prezioaren bilakaera (k€).</w:t>
        <w:br/>
        <w:t>Pasaiaren testuingurua, 2012-2024</w:t>
      </w:r>
      <w:bookmarkEnd w:id="286"/>
    </w:p>
    <w:p>
      <w:pPr>
        <w:pStyle w:val="Iturria"/>
        <w:rPr/>
      </w:pPr>
      <w:r>
        <w:rPr/>
        <w:drawing>
          <wp:inline distT="0" distB="0" distL="0" distR="0">
            <wp:extent cx="5391150" cy="3200400"/>
            <wp:effectExtent l="0" t="0" r="0" b="0"/>
            <wp:docPr id="69" name="Imagen55" descr="Hau duen irudia testua, Bataiarri, pantaila-argazkia, Lurrazal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55" descr="Hau duen irudia testua, Bataiarri, pantaila-argazkia, Lurrazala&#10;&#10;Baliteke AAk sortutako edukia zuzena ez izatea."/>
                    <pic:cNvPicPr>
                      <a:picLocks noChangeAspect="1" noChangeArrowheads="1"/>
                    </pic:cNvPicPr>
                  </pic:nvPicPr>
                  <pic:blipFill>
                    <a:blip r:embed="rId70"/>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Lurralde Plangintza, Etxebizitza eta Garraio Saila.</w:t>
      </w:r>
    </w:p>
    <w:p>
      <w:pPr>
        <w:pStyle w:val="Normal"/>
        <w:rPr/>
      </w:pPr>
      <w:r>
        <w:rPr/>
      </w:r>
    </w:p>
    <w:p>
      <w:pPr>
        <w:pStyle w:val="Caption"/>
        <w:rPr>
          <w:rStyle w:val="IturriaKar"/>
        </w:rPr>
      </w:pPr>
      <w:bookmarkStart w:id="288" w:name="_Toc191031175"/>
      <w:bookmarkStart w:id="289" w:name="_Ref176949719"/>
      <w:r>
        <w:rPr/>
        <w:fldChar w:fldCharType="begin"/>
      </w:r>
      <w:r>
        <w:rPr/>
        <w:instrText xml:space="preserve"> SEQ Taula \* ARABIC </w:instrText>
      </w:r>
      <w:r>
        <w:rPr/>
        <w:fldChar w:fldCharType="separate"/>
      </w:r>
      <w:r>
        <w:rPr/>
        <w:t>32</w:t>
      </w:r>
      <w:r>
        <w:rPr/>
        <w:fldChar w:fldCharType="end"/>
      </w:r>
      <w:r>
        <w:rPr/>
        <w:t>. Taula</w:t>
      </w:r>
      <w:bookmarkEnd w:id="289"/>
      <w:r>
        <w:rPr/>
        <w:t>: Etxebizitza prezioaren bilakaera (€).</w:t>
        <w:br/>
        <w:t>Pasaiaren testuingurua, 2012-2024</w:t>
      </w:r>
      <w:bookmarkEnd w:id="288"/>
    </w:p>
    <w:tbl>
      <w:tblPr>
        <w:tblW w:w="768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23"/>
        <w:gridCol w:w="922"/>
        <w:gridCol w:w="923"/>
        <w:gridCol w:w="922"/>
        <w:gridCol w:w="922"/>
        <w:gridCol w:w="923"/>
        <w:gridCol w:w="922"/>
        <w:gridCol w:w="922"/>
      </w:tblGrid>
      <w:tr>
        <w:trPr>
          <w:trHeight w:val="300" w:hRule="atLeast"/>
        </w:trPr>
        <w:tc>
          <w:tcPr>
            <w:tcW w:w="122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22"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2012</w:t>
            </w:r>
          </w:p>
        </w:tc>
        <w:tc>
          <w:tcPr>
            <w:tcW w:w="923"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2014</w:t>
            </w:r>
          </w:p>
        </w:tc>
        <w:tc>
          <w:tcPr>
            <w:tcW w:w="922"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22"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23"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22"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22" w:type="dxa"/>
            <w:tcBorders>
              <w:left w:val="single" w:sz="4" w:space="0" w:color="000000"/>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2024</w:t>
            </w:r>
          </w:p>
        </w:tc>
      </w:tr>
      <w:tr>
        <w:trPr>
          <w:trHeight w:val="300" w:hRule="atLeast"/>
        </w:trPr>
        <w:tc>
          <w:tcPr>
            <w:tcW w:w="122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Errenteria</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153.194</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204.941</w:t>
            </w:r>
          </w:p>
        </w:tc>
        <w:tc>
          <w:tcPr>
            <w:tcW w:w="922"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210.037</w:t>
            </w:r>
          </w:p>
        </w:tc>
      </w:tr>
      <w:tr>
        <w:trPr>
          <w:trHeight w:val="300" w:hRule="atLeast"/>
        </w:trPr>
        <w:tc>
          <w:tcPr>
            <w:tcW w:w="122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326.611</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310.551</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330.845</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364.392</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405.549</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445.199</w:t>
            </w:r>
          </w:p>
        </w:tc>
        <w:tc>
          <w:tcPr>
            <w:tcW w:w="922"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480.769</w:t>
            </w:r>
          </w:p>
        </w:tc>
      </w:tr>
      <w:tr>
        <w:trPr>
          <w:trHeight w:val="300" w:hRule="atLeast"/>
        </w:trPr>
        <w:tc>
          <w:tcPr>
            <w:tcW w:w="122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268.846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251.397</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252.441</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268.696</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304.355</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326.265</w:t>
            </w:r>
          </w:p>
        </w:tc>
        <w:tc>
          <w:tcPr>
            <w:tcW w:w="922"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349.824</w:t>
            </w:r>
          </w:p>
        </w:tc>
      </w:tr>
      <w:tr>
        <w:trPr>
          <w:trHeight w:val="300" w:hRule="atLeast"/>
        </w:trPr>
        <w:tc>
          <w:tcPr>
            <w:tcW w:w="122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240.708</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225.429</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224.899</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235.730</w:t>
            </w:r>
          </w:p>
        </w:tc>
        <w:tc>
          <w:tcPr>
            <w:tcW w:w="92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265.791</w:t>
            </w:r>
          </w:p>
        </w:tc>
        <w:tc>
          <w:tcPr>
            <w:tcW w:w="92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271.810</w:t>
            </w:r>
          </w:p>
        </w:tc>
        <w:tc>
          <w:tcPr>
            <w:tcW w:w="922"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285.806</w:t>
            </w:r>
          </w:p>
        </w:tc>
      </w:tr>
      <w:tr>
        <w:trPr>
          <w:trHeight w:val="300" w:hRule="atLeast"/>
        </w:trPr>
        <w:tc>
          <w:tcPr>
            <w:tcW w:w="1223" w:type="dxa"/>
            <w:tcBorders>
              <w:top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22"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234.881</w:t>
            </w:r>
          </w:p>
        </w:tc>
        <w:tc>
          <w:tcPr>
            <w:tcW w:w="923"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204.741</w:t>
            </w:r>
          </w:p>
        </w:tc>
        <w:tc>
          <w:tcPr>
            <w:tcW w:w="922"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208.165</w:t>
            </w:r>
          </w:p>
        </w:tc>
        <w:tc>
          <w:tcPr>
            <w:tcW w:w="922"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212.777</w:t>
            </w:r>
          </w:p>
        </w:tc>
        <w:tc>
          <w:tcPr>
            <w:tcW w:w="923"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241.276</w:t>
            </w:r>
          </w:p>
        </w:tc>
        <w:tc>
          <w:tcPr>
            <w:tcW w:w="922"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243.582</w:t>
            </w:r>
          </w:p>
        </w:tc>
        <w:tc>
          <w:tcPr>
            <w:tcW w:w="922" w:type="dxa"/>
            <w:tcBorders>
              <w:top w:val="single" w:sz="4" w:space="0" w:color="000000"/>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251.648</w:t>
            </w:r>
          </w:p>
        </w:tc>
      </w:tr>
    </w:tbl>
    <w:p>
      <w:pPr>
        <w:pStyle w:val="Iturria"/>
        <w:tabs>
          <w:tab w:val="clear" w:pos="708"/>
          <w:tab w:val="left" w:pos="2628" w:leader="none"/>
          <w:tab w:val="right" w:pos="8504" w:leader="none"/>
        </w:tabs>
        <w:rPr/>
      </w:pPr>
      <w:r>
        <w:rPr>
          <w:rStyle w:val="IturriaKar"/>
        </w:rPr>
        <w:t xml:space="preserve"> </w:t>
      </w:r>
      <w:r>
        <w:rPr>
          <w:rStyle w:val="IturriaKar"/>
        </w:rPr>
        <w:t>Iturria: Eusko Jaurlaritzaren Lurralde Plangintza, Etxebizitza eta Garraio Saila.</w:t>
      </w:r>
    </w:p>
    <w:p>
      <w:pPr>
        <w:pStyle w:val="Normal"/>
        <w:rPr/>
      </w:pPr>
      <w:r>
        <w:rPr/>
      </w:r>
    </w:p>
    <w:p>
      <w:pPr>
        <w:pStyle w:val="Normal"/>
        <w:rPr/>
      </w:pPr>
      <w:r>
        <w:rPr/>
      </w:r>
      <w:r>
        <w:br w:type="page"/>
      </w:r>
    </w:p>
    <w:p>
      <w:pPr>
        <w:pStyle w:val="Caption"/>
        <w:rPr/>
      </w:pPr>
      <w:bookmarkStart w:id="290" w:name="_Toc191031135"/>
      <w:bookmarkStart w:id="291" w:name="_Ref176949703"/>
      <w:r>
        <w:rPr/>
        <w:fldChar w:fldCharType="begin"/>
      </w:r>
      <w:r>
        <w:rPr/>
        <w:instrText xml:space="preserve"> SEQ Grafikoa \* ARABIC </w:instrText>
      </w:r>
      <w:r>
        <w:rPr/>
        <w:fldChar w:fldCharType="separate"/>
      </w:r>
      <w:r>
        <w:rPr/>
        <w:t>61</w:t>
      </w:r>
      <w:r>
        <w:rPr/>
        <w:fldChar w:fldCharType="end"/>
      </w:r>
      <w:r>
        <w:rPr/>
        <w:t>. Grafikoa</w:t>
      </w:r>
      <w:bookmarkEnd w:id="291"/>
      <w:r>
        <w:rPr/>
        <w:t>: Etxebizitza prezioaren bilakaera m</w:t>
      </w:r>
      <w:r>
        <w:rPr>
          <w:vertAlign w:val="superscript"/>
        </w:rPr>
        <w:t>2</w:t>
      </w:r>
      <w:r>
        <w:rPr/>
        <w:t>-ko (€).</w:t>
        <w:br/>
        <w:t>Pasaiaren testuingurua, 2012-2024</w:t>
      </w:r>
      <w:bookmarkEnd w:id="290"/>
    </w:p>
    <w:p>
      <w:pPr>
        <w:pStyle w:val="Iturria"/>
        <w:rPr/>
      </w:pPr>
      <w:r>
        <w:rPr/>
        <w:drawing>
          <wp:inline distT="0" distB="0" distL="0" distR="0">
            <wp:extent cx="5391150" cy="3200400"/>
            <wp:effectExtent l="0" t="0" r="0" b="0"/>
            <wp:docPr id="70" name="Imagen56" descr="Hau duen irudia testua, pantaila-argazkia, Lurrazal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56" descr="Hau duen irudia testua, pantaila-argazkia, Lurrazala, lerroa&#10;&#10;Baliteke AAk sortutako edukia zuzena ez izatea."/>
                    <pic:cNvPicPr>
                      <a:picLocks noChangeAspect="1" noChangeArrowheads="1"/>
                    </pic:cNvPicPr>
                  </pic:nvPicPr>
                  <pic:blipFill>
                    <a:blip r:embed="rId71"/>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Lurralde Plangintza, Etxebizitza eta Garraio Saila.</w:t>
      </w:r>
    </w:p>
    <w:p>
      <w:pPr>
        <w:pStyle w:val="Normal"/>
        <w:rPr/>
      </w:pPr>
      <w:r>
        <w:rPr/>
      </w:r>
    </w:p>
    <w:p>
      <w:pPr>
        <w:pStyle w:val="Caption"/>
        <w:rPr/>
      </w:pPr>
      <w:bookmarkStart w:id="292" w:name="_Toc191031176"/>
      <w:bookmarkStart w:id="293" w:name="_Ref176949728"/>
      <w:r>
        <w:rPr/>
        <w:fldChar w:fldCharType="begin"/>
      </w:r>
      <w:r>
        <w:rPr/>
        <w:instrText xml:space="preserve"> SEQ Taula \* ARABIC </w:instrText>
      </w:r>
      <w:r>
        <w:rPr/>
        <w:fldChar w:fldCharType="separate"/>
      </w:r>
      <w:r>
        <w:rPr/>
        <w:t>33</w:t>
      </w:r>
      <w:r>
        <w:rPr/>
        <w:fldChar w:fldCharType="end"/>
      </w:r>
      <w:r>
        <w:rPr/>
        <w:t>. Taula</w:t>
      </w:r>
      <w:bookmarkEnd w:id="293"/>
      <w:r>
        <w:rPr/>
        <w:t>: Etxebizitza prezioaren bilakaera m</w:t>
      </w:r>
      <w:r>
        <w:rPr>
          <w:vertAlign w:val="superscript"/>
        </w:rPr>
        <w:t>2</w:t>
      </w:r>
      <w:r>
        <w:rPr/>
        <w:t>-ko (€).</w:t>
        <w:br/>
        <w:t>Pasaiaren testuingurua, 2012-2024</w:t>
      </w:r>
      <w:bookmarkEnd w:id="292"/>
    </w:p>
    <w:tbl>
      <w:tblPr>
        <w:tblW w:w="7993"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73"/>
        <w:gridCol w:w="960"/>
        <w:gridCol w:w="960"/>
        <w:gridCol w:w="960"/>
        <w:gridCol w:w="960"/>
        <w:gridCol w:w="960"/>
        <w:gridCol w:w="960"/>
        <w:gridCol w:w="959"/>
      </w:tblGrid>
      <w:tr>
        <w:trPr>
          <w:trHeight w:val="300" w:hRule="atLeast"/>
        </w:trPr>
        <w:tc>
          <w:tcPr>
            <w:tcW w:w="1273"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2012</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2014</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60" w:type="dxa"/>
            <w:tcBorders>
              <w:left w:val="single" w:sz="4" w:space="0" w:color="000000"/>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59" w:type="dxa"/>
            <w:tcBorders>
              <w:left w:val="single" w:sz="4" w:space="0" w:color="000000"/>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2024</w:t>
            </w:r>
          </w:p>
        </w:tc>
      </w:tr>
      <w:tr>
        <w:trPr>
          <w:trHeight w:val="300" w:hRule="atLeast"/>
        </w:trPr>
        <w:tc>
          <w:tcPr>
            <w:tcW w:w="127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Errenteria</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2.186,0</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2.967,4</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2.948,3</w:t>
            </w:r>
          </w:p>
        </w:tc>
      </w:tr>
      <w:tr>
        <w:trPr>
          <w:trHeight w:val="300" w:hRule="atLeast"/>
        </w:trPr>
        <w:tc>
          <w:tcPr>
            <w:tcW w:w="127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3.971,5</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3.504,0</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3.884,9</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4.323,1</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4.695,5</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5.167,7</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5.663,2</w:t>
            </w:r>
          </w:p>
        </w:tc>
      </w:tr>
      <w:tr>
        <w:trPr>
          <w:trHeight w:val="300" w:hRule="atLeast"/>
        </w:trPr>
        <w:tc>
          <w:tcPr>
            <w:tcW w:w="127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3.328,7</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2.993,0</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3.095,1</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3.293,7</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3.676,8</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3.987,1</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4.268,3</w:t>
            </w:r>
          </w:p>
        </w:tc>
      </w:tr>
      <w:tr>
        <w:trPr>
          <w:trHeight w:val="300" w:hRule="atLeast"/>
        </w:trPr>
        <w:tc>
          <w:tcPr>
            <w:tcW w:w="127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2.900,7</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2.685,0</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2.742,6</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2.881,7</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3.205,7</w:t>
            </w:r>
          </w:p>
        </w:tc>
        <w:tc>
          <w:tcPr>
            <w:tcW w:w="96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3.309,8</w:t>
            </w:r>
          </w:p>
        </w:tc>
        <w:tc>
          <w:tcPr>
            <w:tcW w:w="959"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3.513,8</w:t>
            </w:r>
          </w:p>
        </w:tc>
      </w:tr>
      <w:tr>
        <w:trPr>
          <w:trHeight w:val="300" w:hRule="atLeast"/>
        </w:trPr>
        <w:tc>
          <w:tcPr>
            <w:tcW w:w="1273" w:type="dxa"/>
            <w:tcBorders>
              <w:top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2.747,9</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2.369,4</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2.415,4</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2.491,9</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2.796,8</w:t>
            </w:r>
          </w:p>
        </w:tc>
        <w:tc>
          <w:tcPr>
            <w:tcW w:w="960" w:type="dxa"/>
            <w:tcBorders>
              <w:top w:val="single" w:sz="4" w:space="0" w:color="000000"/>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2.875,1</w:t>
            </w:r>
          </w:p>
        </w:tc>
        <w:tc>
          <w:tcPr>
            <w:tcW w:w="959" w:type="dxa"/>
            <w:tcBorders>
              <w:top w:val="single" w:sz="4" w:space="0" w:color="000000"/>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2.999,9</w:t>
            </w:r>
          </w:p>
        </w:tc>
      </w:tr>
    </w:tbl>
    <w:p>
      <w:pPr>
        <w:pStyle w:val="Iturria"/>
        <w:rPr/>
      </w:pPr>
      <w:r>
        <w:rPr>
          <w:rStyle w:val="IturriaKar"/>
        </w:rPr>
        <w:t>Iturria: Eusko Jaurlaritzaren Lurralde Plangintza, Etxebizitza eta Garraio Saila.</w:t>
      </w:r>
    </w:p>
    <w:p>
      <w:pPr>
        <w:pStyle w:val="Normal"/>
        <w:rPr/>
      </w:pPr>
      <w:r>
        <w:rPr/>
      </w:r>
    </w:p>
    <w:p>
      <w:pPr>
        <w:pStyle w:val="Normal"/>
        <w:rPr/>
      </w:pPr>
      <w:r>
        <w:rPr/>
      </w:r>
    </w:p>
    <w:p>
      <w:pPr>
        <w:pStyle w:val="Iturria"/>
        <w:rPr/>
      </w:pPr>
      <w:r>
        <w:rPr/>
      </w:r>
    </w:p>
    <w:p>
      <w:pPr>
        <w:pStyle w:val="Normal"/>
        <w:rPr/>
      </w:pPr>
      <w:r>
        <w:rPr/>
      </w:r>
    </w:p>
    <w:p>
      <w:pPr>
        <w:pStyle w:val="Normal"/>
        <w:rPr/>
      </w:pPr>
      <w:r>
        <w:rPr/>
      </w:r>
    </w:p>
    <w:p>
      <w:pPr>
        <w:pStyle w:val="Normal"/>
        <w:rPr/>
      </w:pPr>
      <w:r>
        <w:rPr/>
      </w:r>
      <w:r>
        <w:br w:type="page"/>
      </w:r>
    </w:p>
    <w:p>
      <w:pPr>
        <w:pStyle w:val="Ttulo1"/>
        <w:rPr/>
      </w:pPr>
      <w:bookmarkStart w:id="294" w:name="_Toc191031057"/>
      <w:r>
        <w:rPr/>
        <w:t>Alokairu erregimeneko etxebizitza merkatua</w:t>
      </w:r>
      <w:bookmarkEnd w:id="294"/>
    </w:p>
    <w:p>
      <w:pPr>
        <w:pStyle w:val="Normal"/>
        <w:jc w:val="both"/>
        <w:rPr/>
      </w:pPr>
      <w:r>
        <w:rPr/>
        <w:t>Etxebizitzaren jabetza motak, izan jabetzan edo alokairuan, etxebizitza beharraren egoeraren erakusle da. Alokairu merkatuaren eskaintza baxuak etxebizitza parkearen zati bat bertan bizitzeko ez diren beste erabilera batzuetara bideratzen direla adierazi dezakete. Atal honek alokairuko etxebizitzen parkea izan zitekeenaren eta benetan denaren arteko aldea ezaugarritzeko datuak eskaintzen ditu.</w:t>
      </w:r>
    </w:p>
    <w:p>
      <w:pPr>
        <w:pStyle w:val="Ttulo2"/>
        <w:rPr/>
      </w:pPr>
      <w:bookmarkStart w:id="295" w:name="_Toc191031058"/>
      <w:r>
        <w:rPr/>
        <w:t>Aldagai nagusiak</w:t>
      </w:r>
      <w:bookmarkEnd w:id="295"/>
    </w:p>
    <w:p>
      <w:pPr>
        <w:pStyle w:val="Normal"/>
        <w:jc w:val="both"/>
        <w:rPr/>
      </w:pPr>
      <w:r>
        <w:rPr/>
        <w:t xml:space="preserve">Eustaten etxebizitza nagusien jabetza motari buruzko datuen arabera 2011-2023 aldian Pasaian </w:t>
      </w:r>
      <w:bookmarkStart w:id="296" w:name="_Hlk190864533"/>
      <w:r>
        <w:rPr/>
        <w:t>alokairuan dauden bizikidetza-unitateen kopurua %115,8 handitu da: 2011 urtean 569 etxebizitza izatetik 2023 urtean 1.228 izatera igaro da. Pasaian alokairuan dauden etxebizitzen tasa (%17,7) Donostialdearen (%17,9) parekoa da, baina Gipuzkoaren (%16,0) eta EAEren (%14,8) gainetik dago, ezbairik gabe</w:t>
      </w:r>
      <w:bookmarkEnd w:id="296"/>
      <w:r>
        <w:rPr/>
        <w:t xml:space="preserve">. Pasaian etxebizitza alokatzeko joera oso altua da. Etxebizitza beharren datuek ere joera hori berresten dute (ikus </w:t>
      </w:r>
      <w:r>
        <w:rPr/>
        <w:fldChar w:fldCharType="begin"/>
      </w:r>
      <w:r>
        <w:rPr/>
        <w:instrText xml:space="preserve"> REF _Ref176949771 \h </w:instrText>
      </w:r>
      <w:r>
        <w:rPr/>
        <w:fldChar w:fldCharType="separate"/>
      </w:r>
      <w:r>
        <w:rPr/>
        <w:t>62. Grafikoa</w:t>
      </w:r>
      <w:r>
        <w:rPr/>
        <w:fldChar w:fldCharType="end"/>
      </w:r>
      <w:r>
        <w:rPr/>
        <w:t xml:space="preserve">, </w:t>
      </w:r>
      <w:r>
        <w:rPr/>
        <w:fldChar w:fldCharType="begin"/>
      </w:r>
      <w:r>
        <w:rPr/>
        <w:instrText xml:space="preserve"> REF _Ref176949786 \h </w:instrText>
      </w:r>
      <w:r>
        <w:rPr/>
        <w:fldChar w:fldCharType="separate"/>
      </w:r>
      <w:r>
        <w:rPr/>
        <w:t>63. Grafikoa</w:t>
      </w:r>
      <w:r>
        <w:rPr/>
        <w:fldChar w:fldCharType="end"/>
      </w:r>
      <w:r>
        <w:rPr/>
        <w:t xml:space="preserve"> eta </w:t>
      </w:r>
      <w:r>
        <w:rPr/>
        <w:fldChar w:fldCharType="begin"/>
      </w:r>
      <w:r>
        <w:rPr/>
        <w:instrText xml:space="preserve"> REF _Ref176949757 \h </w:instrText>
      </w:r>
      <w:r>
        <w:rPr/>
        <w:fldChar w:fldCharType="separate"/>
      </w:r>
      <w:r>
        <w:rPr/>
        <w:t>34. Taula</w:t>
      </w:r>
      <w:r>
        <w:rPr/>
        <w:fldChar w:fldCharType="end"/>
      </w:r>
      <w:r>
        <w:rPr/>
        <w:t xml:space="preserve">). </w:t>
      </w:r>
    </w:p>
    <w:p>
      <w:pPr>
        <w:pStyle w:val="Normal"/>
        <w:jc w:val="both"/>
        <w:rPr/>
      </w:pPr>
      <w:r>
        <w:rPr/>
        <w:t xml:space="preserve">Azken datu estatistikoen arabera Pasaian aintzat hartzen diren 6.950 etxebizitza nagusietatik 5.581 etxebizitza (%80,3) jabetzan daude, 1.228 etxebizitza (%17,6) alokatuta eta gainerako 141 etxebizitzek (%2,0) beste jabetza mota bat dute (ikus </w:t>
      </w:r>
      <w:r>
        <w:rPr/>
        <w:fldChar w:fldCharType="begin"/>
      </w:r>
      <w:r>
        <w:rPr/>
        <w:instrText xml:space="preserve"> REF _Ref176949771 \h </w:instrText>
      </w:r>
      <w:r>
        <w:rPr/>
        <w:fldChar w:fldCharType="separate"/>
      </w:r>
      <w:r>
        <w:rPr/>
        <w:t>62. Grafikoa</w:t>
      </w:r>
      <w:r>
        <w:rPr/>
        <w:fldChar w:fldCharType="end"/>
      </w:r>
      <w:r>
        <w:rPr/>
        <w:t xml:space="preserve">, </w:t>
      </w:r>
      <w:r>
        <w:rPr/>
        <w:fldChar w:fldCharType="begin"/>
      </w:r>
      <w:r>
        <w:rPr/>
        <w:instrText xml:space="preserve"> REF _Ref176949786 \h </w:instrText>
      </w:r>
      <w:r>
        <w:rPr/>
        <w:fldChar w:fldCharType="separate"/>
      </w:r>
      <w:r>
        <w:rPr/>
        <w:t>63. Grafikoa</w:t>
      </w:r>
      <w:r>
        <w:rPr/>
        <w:fldChar w:fldCharType="end"/>
      </w:r>
      <w:r>
        <w:rPr/>
        <w:t xml:space="preserve"> eta </w:t>
      </w:r>
      <w:r>
        <w:rPr/>
        <w:fldChar w:fldCharType="begin"/>
      </w:r>
      <w:r>
        <w:rPr/>
        <w:instrText xml:space="preserve"> REF _Ref176949757 \h </w:instrText>
      </w:r>
      <w:r>
        <w:rPr/>
        <w:fldChar w:fldCharType="separate"/>
      </w:r>
      <w:r>
        <w:rPr/>
        <w:t>34. Taula</w:t>
      </w:r>
      <w:r>
        <w:rPr/>
        <w:fldChar w:fldCharType="end"/>
      </w:r>
      <w:r>
        <w:rPr/>
        <w:t xml:space="preserve">).    </w:t>
      </w:r>
    </w:p>
    <w:p>
      <w:pPr>
        <w:pStyle w:val="Normal"/>
        <w:rPr/>
      </w:pPr>
      <w:r>
        <w:rPr/>
      </w:r>
    </w:p>
    <w:p>
      <w:pPr>
        <w:pStyle w:val="Caption"/>
        <w:rPr/>
      </w:pPr>
      <w:bookmarkStart w:id="297" w:name="_Toc191031136"/>
      <w:bookmarkStart w:id="298" w:name="_Ref176949771"/>
      <w:r>
        <w:rPr/>
        <w:fldChar w:fldCharType="begin"/>
      </w:r>
      <w:r>
        <w:rPr/>
        <w:instrText xml:space="preserve"> SEQ Grafikoa \* ARABIC </w:instrText>
      </w:r>
      <w:r>
        <w:rPr/>
        <w:fldChar w:fldCharType="separate"/>
      </w:r>
      <w:r>
        <w:rPr/>
        <w:t>62</w:t>
      </w:r>
      <w:r>
        <w:rPr/>
        <w:fldChar w:fldCharType="end"/>
      </w:r>
      <w:r>
        <w:rPr/>
        <w:t>. Grafikoa</w:t>
      </w:r>
      <w:bookmarkEnd w:id="298"/>
      <w:r>
        <w:rPr/>
        <w:t>: Etxebizitza nagusien alokairu-tasaren bilakaera (%).</w:t>
        <w:br/>
        <w:t>Pasaia eta bere testuingurua, 2011-2023</w:t>
      </w:r>
      <w:bookmarkEnd w:id="297"/>
    </w:p>
    <w:p>
      <w:pPr>
        <w:pStyle w:val="Normal"/>
        <w:jc w:val="right"/>
        <w:rPr>
          <w:rStyle w:val="IturriaKar"/>
        </w:rPr>
      </w:pPr>
      <w:r>
        <w:rPr/>
        <w:drawing>
          <wp:inline distT="0" distB="0" distL="0" distR="0">
            <wp:extent cx="5391150" cy="3200400"/>
            <wp:effectExtent l="0" t="0" r="0" b="0"/>
            <wp:docPr id="71" name="Imagen57" descr="Hau duen irudia testua, Lurrazala, lerroa, pantaila-argazki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57" descr="Hau duen irudia testua, Lurrazala, lerroa, pantaila-argazkia&#10;&#10;Baliteke AAk sortutako edukia zuzena ez izatea."/>
                    <pic:cNvPicPr>
                      <a:picLocks noChangeAspect="1" noChangeArrowheads="1"/>
                    </pic:cNvPicPr>
                  </pic:nvPicPr>
                  <pic:blipFill>
                    <a:blip r:embed="rId72"/>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Eustat.</w:t>
      </w:r>
    </w:p>
    <w:p>
      <w:pPr>
        <w:pStyle w:val="Normal"/>
        <w:rPr/>
      </w:pPr>
      <w:r>
        <w:rPr/>
      </w:r>
      <w:r>
        <w:br w:type="page"/>
      </w:r>
    </w:p>
    <w:p>
      <w:pPr>
        <w:pStyle w:val="Caption"/>
        <w:rPr/>
      </w:pPr>
      <w:bookmarkStart w:id="299" w:name="_Toc191031177"/>
      <w:bookmarkStart w:id="300" w:name="_Ref176949757"/>
      <w:r>
        <w:rPr/>
        <w:fldChar w:fldCharType="begin"/>
      </w:r>
      <w:r>
        <w:rPr/>
        <w:instrText xml:space="preserve"> SEQ Taula \* ARABIC </w:instrText>
      </w:r>
      <w:r>
        <w:rPr/>
        <w:fldChar w:fldCharType="separate"/>
      </w:r>
      <w:r>
        <w:rPr/>
        <w:t>34</w:t>
      </w:r>
      <w:r>
        <w:rPr/>
        <w:fldChar w:fldCharType="end"/>
      </w:r>
      <w:r>
        <w:rPr/>
        <w:t>. Taula</w:t>
      </w:r>
      <w:bookmarkEnd w:id="300"/>
      <w:r>
        <w:rPr/>
        <w:t>: Etxebizitza nagusiak jabetza motaren arabera (kop.).</w:t>
        <w:br/>
        <w:t>Pasaia, 2011-2023</w:t>
      </w:r>
      <w:bookmarkEnd w:id="299"/>
    </w:p>
    <w:tbl>
      <w:tblPr>
        <w:tblW w:w="790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580"/>
        <w:gridCol w:w="1580"/>
        <w:gridCol w:w="1580"/>
        <w:gridCol w:w="1580"/>
        <w:gridCol w:w="1580"/>
      </w:tblGrid>
      <w:tr>
        <w:trPr>
          <w:trHeight w:val="255" w:hRule="atLeast"/>
        </w:trPr>
        <w:tc>
          <w:tcPr>
            <w:tcW w:w="158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Jabetza mota</w:t>
            </w:r>
          </w:p>
        </w:tc>
        <w:tc>
          <w:tcPr>
            <w:tcW w:w="158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2011</w:t>
            </w:r>
          </w:p>
        </w:tc>
        <w:tc>
          <w:tcPr>
            <w:tcW w:w="158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158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1580"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255" w:hRule="atLeast"/>
        </w:trPr>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Jabetzan</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5.523</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5.717</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5.589</w:t>
            </w:r>
          </w:p>
        </w:tc>
        <w:tc>
          <w:tcPr>
            <w:tcW w:w="158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5.581</w:t>
            </w:r>
          </w:p>
        </w:tc>
      </w:tr>
      <w:tr>
        <w:trPr>
          <w:trHeight w:val="255" w:hRule="atLeast"/>
        </w:trPr>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Alokairuan</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569</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998</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1.128</w:t>
            </w:r>
          </w:p>
        </w:tc>
        <w:tc>
          <w:tcPr>
            <w:tcW w:w="158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1.228</w:t>
            </w:r>
          </w:p>
        </w:tc>
      </w:tr>
      <w:tr>
        <w:trPr>
          <w:trHeight w:val="255" w:hRule="atLeast"/>
        </w:trPr>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Bestelakoa</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391</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159</w:t>
            </w:r>
          </w:p>
        </w:tc>
        <w:tc>
          <w:tcPr>
            <w:tcW w:w="158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154</w:t>
            </w:r>
          </w:p>
        </w:tc>
        <w:tc>
          <w:tcPr>
            <w:tcW w:w="158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141</w:t>
            </w:r>
          </w:p>
        </w:tc>
      </w:tr>
      <w:tr>
        <w:trPr>
          <w:trHeight w:val="255" w:hRule="atLeast"/>
        </w:trPr>
        <w:tc>
          <w:tcPr>
            <w:tcW w:w="1580"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58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6.483</w:t>
            </w:r>
          </w:p>
        </w:tc>
        <w:tc>
          <w:tcPr>
            <w:tcW w:w="158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6.874</w:t>
            </w:r>
          </w:p>
        </w:tc>
        <w:tc>
          <w:tcPr>
            <w:tcW w:w="158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6.871</w:t>
            </w:r>
          </w:p>
        </w:tc>
        <w:tc>
          <w:tcPr>
            <w:tcW w:w="1580"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6.950</w:t>
            </w:r>
          </w:p>
        </w:tc>
      </w:tr>
    </w:tbl>
    <w:p>
      <w:pPr>
        <w:pStyle w:val="Normal"/>
        <w:tabs>
          <w:tab w:val="clear" w:pos="708"/>
          <w:tab w:val="left" w:pos="7056" w:leader="none"/>
          <w:tab w:val="right" w:pos="8504" w:leader="none"/>
        </w:tabs>
        <w:rPr>
          <w:rStyle w:val="IturriaKar"/>
        </w:rPr>
      </w:pPr>
      <w:r>
        <w:rPr>
          <w:rStyle w:val="IturriaKar"/>
        </w:rPr>
        <w:tab/>
        <w:t xml:space="preserve"> Iturria: Eustat.</w:t>
      </w:r>
    </w:p>
    <w:p>
      <w:pPr>
        <w:pStyle w:val="Normal"/>
        <w:rPr/>
      </w:pPr>
      <w:r>
        <w:rPr/>
      </w:r>
    </w:p>
    <w:p>
      <w:pPr>
        <w:pStyle w:val="Caption"/>
        <w:rPr/>
      </w:pPr>
      <w:bookmarkStart w:id="301" w:name="_Toc191031137"/>
      <w:bookmarkStart w:id="302" w:name="_Ref176949786"/>
      <w:r>
        <w:rPr/>
        <w:fldChar w:fldCharType="begin"/>
      </w:r>
      <w:r>
        <w:rPr/>
        <w:instrText xml:space="preserve"> SEQ Grafikoa \* ARABIC </w:instrText>
      </w:r>
      <w:r>
        <w:rPr/>
        <w:fldChar w:fldCharType="separate"/>
      </w:r>
      <w:r>
        <w:rPr/>
        <w:t>63</w:t>
      </w:r>
      <w:r>
        <w:rPr/>
        <w:fldChar w:fldCharType="end"/>
      </w:r>
      <w:r>
        <w:rPr/>
        <w:t>. Grafikoa</w:t>
      </w:r>
      <w:bookmarkEnd w:id="302"/>
      <w:r>
        <w:rPr/>
        <w:t>: Etxebizitza nagusiak jabetza motaren arabera (%).</w:t>
        <w:br/>
        <w:t>Pasaia eta bere testuingurua, 2023</w:t>
      </w:r>
      <w:bookmarkEnd w:id="301"/>
    </w:p>
    <w:p>
      <w:pPr>
        <w:pStyle w:val="Normal"/>
        <w:jc w:val="right"/>
        <w:rPr>
          <w:rStyle w:val="IturriaKar"/>
        </w:rPr>
      </w:pPr>
      <w:r>
        <w:rPr/>
        <w:drawing>
          <wp:inline distT="0" distB="0" distL="0" distR="0">
            <wp:extent cx="5391150" cy="3200400"/>
            <wp:effectExtent l="0" t="0" r="0" b="0"/>
            <wp:docPr id="72" name="Imagen58" descr="Hau duen irudia testua, pantaila-argazkia, Bataiarri, Lurrazal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58" descr="Hau duen irudia testua, pantaila-argazkia, Bataiarri, Lurrazala&#10;&#10;Baliteke AAk sortutako edukia zuzena ez izatea."/>
                    <pic:cNvPicPr>
                      <a:picLocks noChangeAspect="1" noChangeArrowheads="1"/>
                    </pic:cNvPicPr>
                  </pic:nvPicPr>
                  <pic:blipFill>
                    <a:blip r:embed="rId73"/>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Eustat.</w:t>
      </w:r>
    </w:p>
    <w:p>
      <w:pPr>
        <w:pStyle w:val="Normal"/>
        <w:jc w:val="both"/>
        <w:rPr>
          <w:rStyle w:val="IturriaKar"/>
        </w:rPr>
      </w:pPr>
      <w:r>
        <w:rPr/>
        <w:t xml:space="preserve">Bide horretan, Eusko Jaurlaritzan azken urteetan jaso diren </w:t>
      </w:r>
      <w:bookmarkStart w:id="303" w:name="_Hlk190864604"/>
      <w:r>
        <w:rPr/>
        <w:t xml:space="preserve">Pasaiako alokairu libreko fidantzen gordailu kopurua aztertu diren eremuen gainetik ibili da. Datu horrek berresten du azken urteetan udalerrian etxebizitza alokairu eskaera handia izan dela. Dena den, Pasaiak gainetik egotearen joerari eutsi badio ere (‰11,2), 2023an behera egin zuen biztanleko ratioak. 2022an 231 gordailu biltzetik 2023an 178 gordailu hartzera igaro zen, %22,9ko beherakada. Erreferentziazko eremuetan ere beherakadak gertatu ziren. Hala ere, Pasaiako mila biztanleko alokairu ratioa (‰11,2), Oarsoaldea (‰9,0), Donostialdea (‰10,4), Gipuzkoa (‰9,9) eta EAEkoaren (‰9,2) gainetik dago </w:t>
      </w:r>
      <w:bookmarkEnd w:id="303"/>
      <w:r>
        <w:rPr/>
        <w:t xml:space="preserve">(ikus </w:t>
      </w:r>
      <w:r>
        <w:rPr/>
        <w:fldChar w:fldCharType="begin"/>
      </w:r>
      <w:r>
        <w:rPr/>
        <w:instrText xml:space="preserve"> REF _Ref176949871 \h </w:instrText>
      </w:r>
      <w:r>
        <w:rPr/>
        <w:fldChar w:fldCharType="separate"/>
      </w:r>
      <w:r>
        <w:rPr/>
        <w:t>64. Grafikoa</w:t>
      </w:r>
      <w:r>
        <w:rPr/>
        <w:fldChar w:fldCharType="end"/>
      </w:r>
      <w:r>
        <w:rPr/>
        <w:t xml:space="preserve"> eta </w:t>
      </w:r>
      <w:r>
        <w:rPr/>
        <w:fldChar w:fldCharType="begin"/>
      </w:r>
      <w:r>
        <w:rPr/>
        <w:instrText xml:space="preserve"> REF _Ref176949856 \h </w:instrText>
      </w:r>
      <w:r>
        <w:rPr/>
        <w:fldChar w:fldCharType="separate"/>
      </w:r>
      <w:r>
        <w:rPr/>
        <w:t>35. Taula</w:t>
      </w:r>
      <w:r>
        <w:rPr/>
        <w:fldChar w:fldCharType="end"/>
      </w:r>
      <w:r>
        <w:rPr/>
        <w:t>).</w:t>
      </w:r>
    </w:p>
    <w:p>
      <w:pPr>
        <w:pStyle w:val="Normal"/>
        <w:jc w:val="right"/>
        <w:rPr>
          <w:rStyle w:val="IturriaKar"/>
        </w:rPr>
      </w:pPr>
      <w:r>
        <w:rPr/>
      </w:r>
    </w:p>
    <w:p>
      <w:pPr>
        <w:pStyle w:val="Normal"/>
        <w:jc w:val="right"/>
        <w:rPr>
          <w:rStyle w:val="IturriaKar"/>
        </w:rPr>
      </w:pPr>
      <w:r>
        <w:rPr/>
      </w:r>
    </w:p>
    <w:p>
      <w:pPr>
        <w:pStyle w:val="Normal"/>
        <w:jc w:val="right"/>
        <w:rPr>
          <w:rStyle w:val="IturriaKar"/>
        </w:rPr>
      </w:pPr>
      <w:r>
        <w:rPr/>
      </w:r>
    </w:p>
    <w:p>
      <w:pPr>
        <w:pStyle w:val="Normal"/>
        <w:jc w:val="right"/>
        <w:rPr>
          <w:rStyle w:val="IturriaKar"/>
        </w:rPr>
      </w:pPr>
      <w:r>
        <w:rPr/>
      </w:r>
    </w:p>
    <w:p>
      <w:pPr>
        <w:pStyle w:val="Normal"/>
        <w:rPr>
          <w:rStyle w:val="IturriaKar"/>
        </w:rPr>
      </w:pPr>
      <w:r>
        <w:rPr/>
      </w:r>
      <w:r>
        <w:br w:type="page"/>
      </w:r>
    </w:p>
    <w:p>
      <w:pPr>
        <w:pStyle w:val="Caption"/>
        <w:rPr/>
      </w:pPr>
      <w:bookmarkStart w:id="304" w:name="_Toc191031138"/>
      <w:bookmarkStart w:id="305" w:name="_Ref176949871"/>
      <w:r>
        <w:rPr/>
        <w:fldChar w:fldCharType="begin"/>
      </w:r>
      <w:r>
        <w:rPr/>
        <w:instrText xml:space="preserve"> SEQ Grafikoa \* ARABIC </w:instrText>
      </w:r>
      <w:r>
        <w:rPr/>
        <w:fldChar w:fldCharType="separate"/>
      </w:r>
      <w:r>
        <w:rPr/>
        <w:t>64</w:t>
      </w:r>
      <w:r>
        <w:rPr/>
        <w:fldChar w:fldCharType="end"/>
      </w:r>
      <w:r>
        <w:rPr/>
        <w:t>. Grafikoa</w:t>
      </w:r>
      <w:bookmarkEnd w:id="305"/>
      <w:r>
        <w:rPr/>
        <w:t>: Alokairu libreko fidantza kopuruak biztanleko ratioaren bilakaera kontratuaren hasiera urtearen arabera (‰).</w:t>
        <w:br/>
        <w:t>Pasaia eta bere testuingurua, 2016-2023</w:t>
      </w:r>
      <w:bookmarkEnd w:id="304"/>
    </w:p>
    <w:p>
      <w:pPr>
        <w:pStyle w:val="Normal"/>
        <w:jc w:val="right"/>
        <w:rPr/>
      </w:pPr>
      <w:r>
        <w:rPr/>
        <w:drawing>
          <wp:inline distT="0" distB="0" distL="0" distR="0">
            <wp:extent cx="5391150" cy="3200400"/>
            <wp:effectExtent l="0" t="0" r="0" b="0"/>
            <wp:docPr id="73" name="Imagen59" descr="Hau duen irudia testua, Lurrazala, lerroa, diagram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59" descr="Hau duen irudia testua, Lurrazala, lerroa, diagrama&#10;&#10;Baliteke AAk sortutako edukia zuzena ez izatea."/>
                    <pic:cNvPicPr>
                      <a:picLocks noChangeAspect="1" noChangeArrowheads="1"/>
                    </pic:cNvPicPr>
                  </pic:nvPicPr>
                  <pic:blipFill>
                    <a:blip r:embed="rId74"/>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Lurralde Plangintza, Etxebizitza eta Garraio Saila.</w:t>
      </w:r>
    </w:p>
    <w:p>
      <w:pPr>
        <w:pStyle w:val="Normal"/>
        <w:jc w:val="right"/>
        <w:rPr>
          <w:rStyle w:val="IturriaKar"/>
        </w:rPr>
      </w:pPr>
      <w:r>
        <w:rPr/>
      </w:r>
    </w:p>
    <w:p>
      <w:pPr>
        <w:pStyle w:val="Caption"/>
        <w:rPr/>
      </w:pPr>
      <w:bookmarkStart w:id="306" w:name="_Toc191031178"/>
      <w:bookmarkStart w:id="307" w:name="_Ref176949856"/>
      <w:r>
        <w:rPr/>
        <w:fldChar w:fldCharType="begin"/>
      </w:r>
      <w:r>
        <w:rPr/>
        <w:instrText xml:space="preserve"> SEQ Taula \* ARABIC </w:instrText>
      </w:r>
      <w:r>
        <w:rPr/>
        <w:fldChar w:fldCharType="separate"/>
      </w:r>
      <w:r>
        <w:rPr/>
        <w:t>35</w:t>
      </w:r>
      <w:r>
        <w:rPr/>
        <w:fldChar w:fldCharType="end"/>
      </w:r>
      <w:r>
        <w:rPr/>
        <w:t>. Taula</w:t>
      </w:r>
      <w:bookmarkEnd w:id="307"/>
      <w:r>
        <w:rPr/>
        <w:t>: Alokairu libreko fidantza kopuruak biztanleko ratioaren bilakaera kontratuaren hasiera urtearen arabera (‰).</w:t>
        <w:br/>
        <w:t>Pasaia eta bere testuingurua, 2016-2025</w:t>
      </w:r>
      <w:bookmarkEnd w:id="306"/>
    </w:p>
    <w:tbl>
      <w:tblPr>
        <w:tblW w:w="921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34"/>
        <w:gridCol w:w="1272"/>
        <w:gridCol w:w="854"/>
        <w:gridCol w:w="851"/>
        <w:gridCol w:w="850"/>
        <w:gridCol w:w="851"/>
        <w:gridCol w:w="850"/>
        <w:gridCol w:w="851"/>
        <w:gridCol w:w="850"/>
        <w:gridCol w:w="850"/>
      </w:tblGrid>
      <w:tr>
        <w:trPr>
          <w:trHeight w:val="300" w:hRule="atLeast"/>
        </w:trPr>
        <w:tc>
          <w:tcPr>
            <w:tcW w:w="113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Adierazlea</w:t>
            </w:r>
          </w:p>
        </w:tc>
        <w:tc>
          <w:tcPr>
            <w:tcW w:w="127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85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85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8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85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8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85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8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850"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134"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Alokairuak (kop.)</w:t>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219</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232</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239</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217</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215</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231</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178</w:t>
            </w:r>
          </w:p>
        </w:tc>
      </w:tr>
      <w:tr>
        <w:trPr>
          <w:trHeight w:val="300" w:hRule="atLeast"/>
        </w:trPr>
        <w:tc>
          <w:tcPr>
            <w:tcW w:w="1134"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781</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813</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759</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763</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718</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642</w:t>
            </w:r>
          </w:p>
        </w:tc>
      </w:tr>
      <w:tr>
        <w:trPr>
          <w:trHeight w:val="300" w:hRule="atLeast"/>
        </w:trPr>
        <w:tc>
          <w:tcPr>
            <w:tcW w:w="1134"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3.200</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3.939</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4.325</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4.187</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3.968</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4.317</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3.987</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3.466</w:t>
            </w:r>
          </w:p>
        </w:tc>
      </w:tr>
      <w:tr>
        <w:trPr>
          <w:trHeight w:val="300" w:hRule="atLeast"/>
        </w:trPr>
        <w:tc>
          <w:tcPr>
            <w:tcW w:w="1134"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5.923</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7.415</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7.869</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7.643</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7.072</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7.696</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7.388</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6.622</w:t>
            </w:r>
          </w:p>
        </w:tc>
      </w:tr>
      <w:tr>
        <w:trPr>
          <w:trHeight w:val="300" w:hRule="atLeast"/>
        </w:trPr>
        <w:tc>
          <w:tcPr>
            <w:tcW w:w="1134"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16.028</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19.853</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20.443</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19.513</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17.316</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19.982</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20.443</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18.495</w:t>
            </w:r>
          </w:p>
        </w:tc>
      </w:tr>
      <w:tr>
        <w:trPr>
          <w:trHeight w:val="300" w:hRule="atLeast"/>
        </w:trPr>
        <w:tc>
          <w:tcPr>
            <w:tcW w:w="1134" w:type="dxa"/>
            <w:vMerge w:val="restart"/>
            <w:tcBorders>
              <w:top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Alokairuak biztanleko (‰)</w:t>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13,6</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14,8</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13,5</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13,6</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14,7</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11,2</w:t>
            </w:r>
          </w:p>
        </w:tc>
      </w:tr>
      <w:tr>
        <w:trPr>
          <w:trHeight w:val="300" w:hRule="atLeast"/>
        </w:trPr>
        <w:tc>
          <w:tcPr>
            <w:tcW w:w="1134"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8,4</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10,9</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11,3</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9,1</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10,7</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10,1</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w:t>
            </w:r>
          </w:p>
        </w:tc>
      </w:tr>
      <w:tr>
        <w:trPr>
          <w:trHeight w:val="300" w:hRule="atLeast"/>
        </w:trPr>
        <w:tc>
          <w:tcPr>
            <w:tcW w:w="1134"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9,7</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13,1</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12,6</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11,9</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13,0</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10,4</w:t>
            </w:r>
          </w:p>
        </w:tc>
      </w:tr>
      <w:tr>
        <w:trPr>
          <w:trHeight w:val="300" w:hRule="atLeast"/>
        </w:trPr>
        <w:tc>
          <w:tcPr>
            <w:tcW w:w="1134"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85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11,3</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12,0</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11,5</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10,6</w:t>
            </w:r>
          </w:p>
        </w:tc>
        <w:tc>
          <w:tcPr>
            <w:tcW w:w="8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11,7</w:t>
            </w:r>
          </w:p>
        </w:tc>
        <w:tc>
          <w:tcPr>
            <w:tcW w:w="8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11,1</w:t>
            </w:r>
          </w:p>
        </w:tc>
        <w:tc>
          <w:tcPr>
            <w:tcW w:w="8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w:t>
            </w:r>
          </w:p>
        </w:tc>
      </w:tr>
      <w:tr>
        <w:trPr>
          <w:trHeight w:val="300" w:hRule="atLeast"/>
        </w:trPr>
        <w:tc>
          <w:tcPr>
            <w:tcW w:w="1134"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272"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85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w:t>
            </w:r>
          </w:p>
        </w:tc>
        <w:tc>
          <w:tcPr>
            <w:tcW w:w="85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10,1</w:t>
            </w:r>
          </w:p>
        </w:tc>
        <w:tc>
          <w:tcPr>
            <w:tcW w:w="8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10,4</w:t>
            </w:r>
          </w:p>
        </w:tc>
        <w:tc>
          <w:tcPr>
            <w:tcW w:w="85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9,8</w:t>
            </w:r>
          </w:p>
        </w:tc>
        <w:tc>
          <w:tcPr>
            <w:tcW w:w="8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8,7</w:t>
            </w:r>
          </w:p>
        </w:tc>
        <w:tc>
          <w:tcPr>
            <w:tcW w:w="85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w:t>
            </w:r>
          </w:p>
        </w:tc>
        <w:tc>
          <w:tcPr>
            <w:tcW w:w="8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10,3</w:t>
            </w:r>
          </w:p>
        </w:tc>
        <w:tc>
          <w:tcPr>
            <w:tcW w:w="850"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w:t>
            </w:r>
          </w:p>
        </w:tc>
      </w:tr>
    </w:tbl>
    <w:p>
      <w:pPr>
        <w:pStyle w:val="Iturria"/>
        <w:tabs>
          <w:tab w:val="clear" w:pos="708"/>
          <w:tab w:val="left" w:pos="2670" w:leader="none"/>
          <w:tab w:val="right" w:pos="8504" w:leader="none"/>
        </w:tabs>
        <w:jc w:val="left"/>
        <w:rPr>
          <w:rStyle w:val="IturriaKar"/>
        </w:rPr>
      </w:pPr>
      <w:r>
        <w:rPr>
          <w:rStyle w:val="IturriaKar"/>
        </w:rPr>
        <w:tab/>
        <w:t>Iturria: Eusko Jaurlaritzaren Lurralde Plangintza, Etxebizitza eta Garraio Saila.</w:t>
      </w:r>
    </w:p>
    <w:p>
      <w:pPr>
        <w:pStyle w:val="Normal"/>
        <w:jc w:val="both"/>
        <w:rPr/>
      </w:pPr>
      <w:r>
        <w:rPr/>
        <w:t xml:space="preserve">Aztertu diren alokairu libreko fidantza deposituek joera argi bat azaleratzen dute: </w:t>
      </w:r>
      <w:bookmarkStart w:id="308" w:name="_Hlk190864638"/>
      <w:r>
        <w:rPr/>
        <w:t>2016-2023 urteen artean alokairu-errentaren batez bestekoak eremu guztietan egin du gora. Pasaiaren hazkundea %23,3koa izan da: 2016an alokairu-errenta 625,8€ izatetik 2023an 771,6€ izatera igaro da. Alokairu-errentaren hazkundea, Donostialdea alde batera utzita (%27,5), erreferentziazko eremuen parekoa izan da</w:t>
      </w:r>
      <w:bookmarkEnd w:id="308"/>
      <w:r>
        <w:rPr/>
        <w:t xml:space="preserve">: Oarsoaldea (%24,7), Gipuzkoa (%24,9) eta EAE (%23,0) (ikus </w:t>
      </w:r>
      <w:r>
        <w:rPr/>
        <w:fldChar w:fldCharType="begin"/>
      </w:r>
      <w:r>
        <w:rPr/>
        <w:instrText xml:space="preserve"> REF _Ref176949879 \h </w:instrText>
      </w:r>
      <w:r>
        <w:rPr/>
        <w:fldChar w:fldCharType="separate"/>
      </w:r>
      <w:r>
        <w:rPr/>
        <w:t>65. Grafikoa</w:t>
      </w:r>
      <w:r>
        <w:rPr/>
        <w:fldChar w:fldCharType="end"/>
      </w:r>
      <w:r>
        <w:rPr/>
        <w:t xml:space="preserve"> eta </w:t>
      </w:r>
      <w:r>
        <w:rPr/>
        <w:fldChar w:fldCharType="begin"/>
      </w:r>
      <w:r>
        <w:rPr/>
        <w:instrText xml:space="preserve"> REF _Ref176949894 \h </w:instrText>
      </w:r>
      <w:r>
        <w:rPr/>
        <w:fldChar w:fldCharType="separate"/>
      </w:r>
      <w:r>
        <w:rPr/>
        <w:t>36. Taula</w:t>
      </w:r>
      <w:r>
        <w:rPr/>
        <w:fldChar w:fldCharType="end"/>
      </w:r>
      <w:r>
        <w:rPr/>
        <w:t>).</w:t>
      </w:r>
    </w:p>
    <w:p>
      <w:pPr>
        <w:pStyle w:val="Normal"/>
        <w:jc w:val="both"/>
        <w:rPr/>
      </w:pPr>
      <w:r>
        <w:rPr/>
        <w:t xml:space="preserve">Bestalde, erreferentziazko eremuen alokairu-errentaren prezioan arreta jartzeak merezi du. Pasaiako batez besteko alokairu-errenta (771,6€) Donostialdekoa baino %17,7 merkeagoa da (937,1€); hau da, 165€ merkeagoa. Diferentzia hori ia 265€ dira Donostiako alokairu-errentarekin alderatua (1.036,1€). Oarsoaldeako udalerrietan, Errenterian (754,6€), Oiartzunen (745,1€) eta Lezon (745,2€), alokairu-errentak Pasaiakoa baino zertxobait apalagoak dira. Beraz, argi ikusten da Pasaiaren alokairuaren azken urteetako igoera Donostialdeak eta, bereziki, Donostiak duten alokairu-errenta altuen ondorio dela: Pasaiak hiriburuarekiko duen gertutasuna eta alokairuen prezio apalagoagatik bizitoki irtenbide bat izan da pertsona askorentzat (ikus </w:t>
      </w:r>
      <w:r>
        <w:rPr/>
        <w:fldChar w:fldCharType="begin"/>
      </w:r>
      <w:r>
        <w:rPr/>
        <w:instrText xml:space="preserve"> REF _Ref176949879 \h </w:instrText>
      </w:r>
      <w:r>
        <w:rPr/>
        <w:fldChar w:fldCharType="separate"/>
      </w:r>
      <w:r>
        <w:rPr/>
        <w:t>65. Grafikoa</w:t>
      </w:r>
      <w:r>
        <w:rPr/>
        <w:fldChar w:fldCharType="end"/>
      </w:r>
      <w:r>
        <w:rPr/>
        <w:t xml:space="preserve"> eta </w:t>
      </w:r>
      <w:r>
        <w:rPr/>
        <w:fldChar w:fldCharType="begin"/>
      </w:r>
      <w:r>
        <w:rPr/>
        <w:instrText xml:space="preserve"> REF _Ref176949894 \h </w:instrText>
      </w:r>
      <w:r>
        <w:rPr/>
        <w:fldChar w:fldCharType="separate"/>
      </w:r>
      <w:r>
        <w:rPr/>
        <w:t>36. Taula</w:t>
      </w:r>
      <w:r>
        <w:rPr/>
        <w:fldChar w:fldCharType="end"/>
      </w:r>
      <w:r>
        <w:rPr/>
        <w:t>).</w:t>
      </w:r>
    </w:p>
    <w:p>
      <w:pPr>
        <w:pStyle w:val="Caption"/>
        <w:rPr/>
      </w:pPr>
      <w:bookmarkStart w:id="309" w:name="_Toc191031139"/>
      <w:bookmarkStart w:id="310" w:name="_Ref176949879"/>
      <w:r>
        <w:rPr/>
        <w:fldChar w:fldCharType="begin"/>
      </w:r>
      <w:r>
        <w:rPr/>
        <w:instrText xml:space="preserve"> SEQ Grafikoa \* ARABIC </w:instrText>
      </w:r>
      <w:r>
        <w:rPr/>
        <w:fldChar w:fldCharType="separate"/>
      </w:r>
      <w:r>
        <w:rPr/>
        <w:t>65</w:t>
      </w:r>
      <w:r>
        <w:rPr/>
        <w:fldChar w:fldCharType="end"/>
      </w:r>
      <w:r>
        <w:rPr/>
        <w:t>. Grafikoa</w:t>
      </w:r>
      <w:bookmarkEnd w:id="310"/>
      <w:r>
        <w:rPr/>
        <w:t>: Alokairu libreko errentaren bilakaera kontratuaren hasiera urtearen arabera (€).</w:t>
        <w:br/>
        <w:t>Pasaia eta bere testuingurua, 2016-2023</w:t>
      </w:r>
      <w:bookmarkEnd w:id="309"/>
    </w:p>
    <w:p>
      <w:pPr>
        <w:pStyle w:val="Normal"/>
        <w:rPr/>
      </w:pPr>
      <w:r>
        <w:rPr/>
        <w:drawing>
          <wp:inline distT="0" distB="0" distL="0" distR="0">
            <wp:extent cx="5391150" cy="3200400"/>
            <wp:effectExtent l="0" t="0" r="0" b="0"/>
            <wp:docPr id="74" name="Imagen60" descr="Hau duen irudia testua, pantaila-argazkia, Lurrazal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60" descr="Hau duen irudia testua, pantaila-argazkia, Lurrazala, lerroa&#10;&#10;Baliteke AAk sortutako edukia zuzena ez izatea."/>
                    <pic:cNvPicPr>
                      <a:picLocks noChangeAspect="1" noChangeArrowheads="1"/>
                    </pic:cNvPicPr>
                  </pic:nvPicPr>
                  <pic:blipFill>
                    <a:blip r:embed="rId75"/>
                    <a:stretch>
                      <a:fillRect/>
                    </a:stretch>
                  </pic:blipFill>
                  <pic:spPr bwMode="auto">
                    <a:xfrm>
                      <a:off x="0" y="0"/>
                      <a:ext cx="5391150" cy="3200400"/>
                    </a:xfrm>
                    <a:prstGeom prst="rect">
                      <a:avLst/>
                    </a:prstGeom>
                  </pic:spPr>
                </pic:pic>
              </a:graphicData>
            </a:graphic>
          </wp:inline>
        </w:drawing>
      </w:r>
    </w:p>
    <w:p>
      <w:pPr>
        <w:pStyle w:val="Normal"/>
        <w:rPr/>
      </w:pPr>
      <w:r>
        <w:rPr/>
      </w:r>
    </w:p>
    <w:p>
      <w:pPr>
        <w:pStyle w:val="Caption"/>
        <w:rPr/>
      </w:pPr>
      <w:bookmarkStart w:id="311" w:name="_Toc191031179"/>
      <w:bookmarkStart w:id="312" w:name="_Ref176949894"/>
      <w:r>
        <w:rPr/>
        <w:fldChar w:fldCharType="begin"/>
      </w:r>
      <w:r>
        <w:rPr/>
        <w:instrText xml:space="preserve"> SEQ Taula \* ARABIC </w:instrText>
      </w:r>
      <w:r>
        <w:rPr/>
        <w:fldChar w:fldCharType="separate"/>
      </w:r>
      <w:r>
        <w:rPr/>
        <w:t>36</w:t>
      </w:r>
      <w:r>
        <w:rPr/>
        <w:fldChar w:fldCharType="end"/>
      </w:r>
      <w:r>
        <w:rPr/>
        <w:t>. Taula</w:t>
      </w:r>
      <w:bookmarkEnd w:id="312"/>
      <w:r>
        <w:rPr/>
        <w:t>: Alokairu libreko alokairu-errentaren bilakaera kontratuaren hasiera urtearen arabera (‰).</w:t>
        <w:br/>
        <w:t>Pasaia eta bere testuingurua, 2016-2023</w:t>
      </w:r>
      <w:bookmarkEnd w:id="311"/>
    </w:p>
    <w:tbl>
      <w:tblPr>
        <w:tblW w:w="8669"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232"/>
        <w:gridCol w:w="930"/>
        <w:gridCol w:w="929"/>
        <w:gridCol w:w="930"/>
        <w:gridCol w:w="929"/>
        <w:gridCol w:w="930"/>
        <w:gridCol w:w="929"/>
        <w:gridCol w:w="930"/>
        <w:gridCol w:w="929"/>
      </w:tblGrid>
      <w:tr>
        <w:trPr>
          <w:trHeight w:val="300" w:hRule="atLeast"/>
        </w:trPr>
        <w:tc>
          <w:tcPr>
            <w:tcW w:w="123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3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2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3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2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3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2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3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2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23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Pasaia</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625,8</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636,1</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656,1</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680,2</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680,7</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699,6</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728,4</w:t>
            </w:r>
          </w:p>
        </w:tc>
        <w:tc>
          <w:tcPr>
            <w:tcW w:w="92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771,6</w:t>
            </w:r>
          </w:p>
        </w:tc>
      </w:tr>
      <w:tr>
        <w:trPr>
          <w:trHeight w:val="300" w:hRule="atLeast"/>
        </w:trPr>
        <w:tc>
          <w:tcPr>
            <w:tcW w:w="123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Oarsoaldea</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607,8</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619,6</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643,1</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663,6</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670,5</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680,3</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713,2</w:t>
            </w:r>
          </w:p>
        </w:tc>
        <w:tc>
          <w:tcPr>
            <w:tcW w:w="92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757,9</w:t>
            </w:r>
          </w:p>
        </w:tc>
      </w:tr>
      <w:tr>
        <w:trPr>
          <w:trHeight w:val="300" w:hRule="atLeast"/>
        </w:trPr>
        <w:tc>
          <w:tcPr>
            <w:tcW w:w="123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Donostialdea</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735,3</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756,9</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798,1</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824,0</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838,3</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839,6</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878,3</w:t>
            </w:r>
          </w:p>
        </w:tc>
        <w:tc>
          <w:tcPr>
            <w:tcW w:w="92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937,1</w:t>
            </w:r>
          </w:p>
        </w:tc>
      </w:tr>
      <w:tr>
        <w:trPr>
          <w:trHeight w:val="300" w:hRule="atLeast"/>
        </w:trPr>
        <w:tc>
          <w:tcPr>
            <w:tcW w:w="123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Gipuzkoa</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656,9</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666,7</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702,8</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725,8</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741,2</w:t>
            </w:r>
          </w:p>
        </w:tc>
        <w:tc>
          <w:tcPr>
            <w:tcW w:w="92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748,0</w:t>
            </w:r>
          </w:p>
        </w:tc>
        <w:tc>
          <w:tcPr>
            <w:tcW w:w="93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774,9</w:t>
            </w:r>
          </w:p>
        </w:tc>
        <w:tc>
          <w:tcPr>
            <w:tcW w:w="92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820,4</w:t>
            </w:r>
          </w:p>
        </w:tc>
      </w:tr>
      <w:tr>
        <w:trPr>
          <w:trHeight w:val="300" w:hRule="atLeast"/>
        </w:trPr>
        <w:tc>
          <w:tcPr>
            <w:tcW w:w="1232"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EAE</w:t>
            </w:r>
          </w:p>
        </w:tc>
        <w:tc>
          <w:tcPr>
            <w:tcW w:w="93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640,5</w:t>
            </w:r>
          </w:p>
        </w:tc>
        <w:tc>
          <w:tcPr>
            <w:tcW w:w="92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650,9</w:t>
            </w:r>
          </w:p>
        </w:tc>
        <w:tc>
          <w:tcPr>
            <w:tcW w:w="93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679,9</w:t>
            </w:r>
          </w:p>
        </w:tc>
        <w:tc>
          <w:tcPr>
            <w:tcW w:w="92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701,2</w:t>
            </w:r>
          </w:p>
        </w:tc>
        <w:tc>
          <w:tcPr>
            <w:tcW w:w="93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715,4</w:t>
            </w:r>
          </w:p>
        </w:tc>
        <w:tc>
          <w:tcPr>
            <w:tcW w:w="92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721,2</w:t>
            </w:r>
          </w:p>
        </w:tc>
        <w:tc>
          <w:tcPr>
            <w:tcW w:w="93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746,5</w:t>
            </w:r>
          </w:p>
        </w:tc>
        <w:tc>
          <w:tcPr>
            <w:tcW w:w="929"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787,7</w:t>
            </w:r>
          </w:p>
        </w:tc>
      </w:tr>
    </w:tbl>
    <w:p>
      <w:pPr>
        <w:pStyle w:val="Iturria"/>
        <w:rPr>
          <w:rStyle w:val="IturriaKar"/>
        </w:rPr>
      </w:pPr>
      <w:r>
        <w:rPr>
          <w:rStyle w:val="IturriaKar"/>
        </w:rPr>
        <w:t>Iturria: Eusko Jaurlaritzaren Lurralde Plangintza, Etxebizitza eta Garraio Saila.</w:t>
      </w:r>
    </w:p>
    <w:p>
      <w:pPr>
        <w:pStyle w:val="Normal"/>
        <w:rPr/>
      </w:pPr>
      <w:r>
        <w:rPr/>
      </w:r>
      <w:r>
        <w:br w:type="page"/>
      </w:r>
    </w:p>
    <w:p>
      <w:pPr>
        <w:pStyle w:val="Normal"/>
        <w:jc w:val="both"/>
        <w:rPr/>
      </w:pPr>
      <w:r>
        <w:rPr/>
        <w:t xml:space="preserve">Barrutiei erreparatuz, arestian aipatutako bilakera ziklikoan bat etorri dira barruti guztiak (azken urtean behera egin dute erregistratutako fidantza deposituen kopuruek) Trintxerpe izan ezik, hemen kopuruak gora egin du, harik eta 2023an Pasaian erregistratutako alokairu guztien %42,5 izateraino, bere atzetik datoz, Antxo %30,2, San Pedro %19,0 eta Donibane %8,4 (ikus </w:t>
      </w:r>
      <w:r>
        <w:rPr/>
        <w:fldChar w:fldCharType="begin"/>
      </w:r>
      <w:r>
        <w:rPr/>
        <w:instrText xml:space="preserve"> REF _Ref190848644 \h </w:instrText>
      </w:r>
      <w:r>
        <w:rPr/>
        <w:fldChar w:fldCharType="separate"/>
      </w:r>
      <w:r>
        <w:rPr/>
        <w:t>66. Grafikoa</w:t>
      </w:r>
      <w:r>
        <w:rPr/>
        <w:fldChar w:fldCharType="end"/>
      </w:r>
      <w:r>
        <w:rPr/>
        <w:t xml:space="preserve"> eta </w:t>
      </w:r>
      <w:r>
        <w:rPr/>
        <w:fldChar w:fldCharType="begin"/>
      </w:r>
      <w:r>
        <w:rPr/>
        <w:instrText xml:space="preserve"> REF _Ref190848667 \h </w:instrText>
      </w:r>
      <w:r>
        <w:rPr/>
        <w:fldChar w:fldCharType="separate"/>
      </w:r>
      <w:r>
        <w:rPr/>
        <w:t>37. Taula</w:t>
      </w:r>
      <w:r>
        <w:rPr/>
        <w:fldChar w:fldCharType="end"/>
      </w:r>
      <w:r>
        <w:rPr/>
        <w:t xml:space="preserve">). </w:t>
      </w:r>
    </w:p>
    <w:p>
      <w:pPr>
        <w:pStyle w:val="Normal"/>
        <w:jc w:val="right"/>
        <w:rPr/>
      </w:pPr>
      <w:bookmarkStart w:id="313" w:name="_Toc191031140"/>
      <w:bookmarkStart w:id="314" w:name="_Ref190848644"/>
      <w:r>
        <w:rPr>
          <w:rFonts w:ascii="Montserrat" w:hAnsi="Montserrat"/>
          <w:b/>
          <w:bCs/>
          <w:sz w:val="18"/>
          <w:szCs w:val="18"/>
        </w:rPr>
        <w:fldChar w:fldCharType="begin"/>
      </w:r>
      <w:r>
        <w:rPr>
          <w:sz w:val="18"/>
          <w:b/>
          <w:szCs w:val="18"/>
          <w:bCs/>
          <w:rFonts w:ascii="Montserrat" w:hAnsi="Montserrat"/>
        </w:rPr>
        <w:instrText xml:space="preserve"> SEQ Grafikoa \* ARABIC </w:instrText>
      </w:r>
      <w:r>
        <w:rPr>
          <w:sz w:val="18"/>
          <w:b/>
          <w:szCs w:val="18"/>
          <w:bCs/>
          <w:rFonts w:ascii="Montserrat" w:hAnsi="Montserrat"/>
        </w:rPr>
        <w:fldChar w:fldCharType="separate"/>
      </w:r>
      <w:r>
        <w:rPr>
          <w:sz w:val="18"/>
          <w:b/>
          <w:szCs w:val="18"/>
          <w:bCs/>
          <w:rFonts w:ascii="Montserrat" w:hAnsi="Montserrat"/>
        </w:rPr>
        <w:t>66</w:t>
      </w:r>
      <w:r>
        <w:rPr>
          <w:sz w:val="18"/>
          <w:b/>
          <w:szCs w:val="18"/>
          <w:bCs/>
          <w:rFonts w:ascii="Montserrat" w:hAnsi="Montserrat"/>
        </w:rPr>
        <w:fldChar w:fldCharType="end"/>
      </w:r>
      <w:r>
        <w:rPr>
          <w:rFonts w:ascii="Montserrat" w:hAnsi="Montserrat"/>
          <w:b/>
          <w:bCs/>
          <w:sz w:val="18"/>
          <w:szCs w:val="18"/>
        </w:rPr>
        <w:t>. Grafikoa</w:t>
      </w:r>
      <w:bookmarkEnd w:id="314"/>
      <w:r>
        <w:rPr>
          <w:rFonts w:ascii="Montserrat" w:hAnsi="Montserrat"/>
          <w:b/>
          <w:bCs/>
          <w:sz w:val="18"/>
          <w:szCs w:val="18"/>
        </w:rPr>
        <w:t>: Alokairu libreko fidantza kopuruen bilakaera kontratuaren hasiera urtearen arabera (kop.).</w:t>
        <w:br/>
        <w:t>Pasaia eta bere barrutiak, 2016-2023</w:t>
      </w:r>
      <w:bookmarkEnd w:id="313"/>
    </w:p>
    <w:p>
      <w:pPr>
        <w:pStyle w:val="Iturria"/>
        <w:rPr>
          <w:rStyle w:val="IturriaKar"/>
        </w:rPr>
      </w:pPr>
      <w:r>
        <w:rPr/>
        <w:drawing>
          <wp:inline distT="0" distB="0" distL="0" distR="0">
            <wp:extent cx="5391150" cy="3200400"/>
            <wp:effectExtent l="0" t="0" r="0" b="0"/>
            <wp:docPr id="75" name="Imagen61" descr="Hau duen irudia testua, pantaila-argazkia, Lurrazala, diagram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61" descr="Hau duen irudia testua, pantaila-argazkia, Lurrazala, diagrama&#10;&#10;Baliteke AAk sortutako edukia zuzena ez izatea."/>
                    <pic:cNvPicPr>
                      <a:picLocks noChangeAspect="1" noChangeArrowheads="1"/>
                    </pic:cNvPicPr>
                  </pic:nvPicPr>
                  <pic:blipFill>
                    <a:blip r:embed="rId76"/>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Lurralde Plangintza, Etxebizitza eta Garraio Saila.</w:t>
      </w:r>
    </w:p>
    <w:p>
      <w:pPr>
        <w:pStyle w:val="Iturria"/>
        <w:rPr>
          <w:rStyle w:val="IturriaKar"/>
        </w:rPr>
      </w:pPr>
      <w:r>
        <w:rPr/>
      </w:r>
    </w:p>
    <w:p>
      <w:pPr>
        <w:pStyle w:val="Caption"/>
        <w:rPr/>
      </w:pPr>
      <w:bookmarkStart w:id="315" w:name="_Toc191031180"/>
      <w:bookmarkStart w:id="316" w:name="_Ref190848667"/>
      <w:r>
        <w:rPr/>
        <w:fldChar w:fldCharType="begin"/>
      </w:r>
      <w:r>
        <w:rPr/>
        <w:instrText xml:space="preserve"> SEQ Taula \* ARABIC </w:instrText>
      </w:r>
      <w:r>
        <w:rPr/>
        <w:fldChar w:fldCharType="separate"/>
      </w:r>
      <w:r>
        <w:rPr/>
        <w:t>37</w:t>
      </w:r>
      <w:r>
        <w:rPr/>
        <w:fldChar w:fldCharType="end"/>
      </w:r>
      <w:r>
        <w:rPr/>
        <w:t>. Taula</w:t>
      </w:r>
      <w:bookmarkEnd w:id="316"/>
      <w:r>
        <w:rPr/>
        <w:t>: Alokairu libreko fidantza kopuruen bilakaera kontratuaren hasiera urtearen arabera (kop.).</w:t>
        <w:br/>
        <w:t>Pasaia eta bere barrutiak, 2016-2023</w:t>
      </w:r>
      <w:bookmarkEnd w:id="315"/>
    </w:p>
    <w:tbl>
      <w:tblPr>
        <w:tblW w:w="873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050"/>
        <w:gridCol w:w="959"/>
        <w:gridCol w:w="960"/>
        <w:gridCol w:w="961"/>
        <w:gridCol w:w="959"/>
        <w:gridCol w:w="960"/>
        <w:gridCol w:w="961"/>
        <w:gridCol w:w="959"/>
        <w:gridCol w:w="960"/>
      </w:tblGrid>
      <w:tr>
        <w:trPr>
          <w:trHeight w:val="300" w:hRule="atLeast"/>
        </w:trPr>
        <w:tc>
          <w:tcPr>
            <w:tcW w:w="10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60"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85</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75</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w:t>
            </w:r>
          </w:p>
        </w:tc>
        <w:tc>
          <w:tcPr>
            <w:tcW w:w="96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54</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17</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27</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w:t>
            </w:r>
          </w:p>
        </w:tc>
        <w:tc>
          <w:tcPr>
            <w:tcW w:w="96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w:t>
            </w:r>
          </w:p>
        </w:tc>
        <w:tc>
          <w:tcPr>
            <w:tcW w:w="96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w:t>
            </w:r>
          </w:p>
        </w:tc>
      </w:tr>
      <w:tr>
        <w:trPr>
          <w:trHeight w:val="300" w:hRule="atLeast"/>
        </w:trPr>
        <w:tc>
          <w:tcPr>
            <w:tcW w:w="10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81</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81</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105</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w:t>
            </w:r>
          </w:p>
        </w:tc>
        <w:tc>
          <w:tcPr>
            <w:tcW w:w="96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r>
      <w:tr>
        <w:trPr>
          <w:trHeight w:val="300" w:hRule="atLeast"/>
        </w:trPr>
        <w:tc>
          <w:tcPr>
            <w:tcW w:w="1050"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187</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219</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236</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240</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219</w:t>
            </w:r>
          </w:p>
        </w:tc>
        <w:tc>
          <w:tcPr>
            <w:tcW w:w="96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215</w:t>
            </w:r>
          </w:p>
        </w:tc>
        <w:tc>
          <w:tcPr>
            <w:tcW w:w="95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231</w:t>
            </w:r>
          </w:p>
        </w:tc>
        <w:tc>
          <w:tcPr>
            <w:tcW w:w="960"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179</w:t>
            </w:r>
          </w:p>
        </w:tc>
      </w:tr>
    </w:tbl>
    <w:p>
      <w:pPr>
        <w:pStyle w:val="Iturria"/>
        <w:rPr>
          <w:rStyle w:val="IturriaKar"/>
        </w:rPr>
      </w:pPr>
      <w:r>
        <w:rPr>
          <w:rStyle w:val="IturriaKar"/>
        </w:rPr>
        <w:t>Iturria: Eusko Jaurlaritzaren Lurralde Plangintza, Etxebizitza eta Garraio Saila.</w:t>
      </w:r>
    </w:p>
    <w:p>
      <w:pPr>
        <w:pStyle w:val="Normal"/>
        <w:jc w:val="both"/>
        <w:rPr>
          <w:rStyle w:val="IturriaKar"/>
        </w:rPr>
      </w:pPr>
      <w:r>
        <w:rPr/>
        <w:t xml:space="preserve">Erregistratutako alokairu-errentari erreparatuz, Trintxerpek du batez besteko alokairu-errentarik handiena (788,0€). Ez da ahaztu behar Donostiatik gertuen dagoen eremua dela. Antxoren (760,8€) eta San Pedroren (745,4€) balioak apalagoak dira. Donibaneko datuak oso mugatuak dira, edonola ere, joerak alokairu-errentak gainerako barrutietan baino merkeagoak direla iradokitzen du. Bide horretan, alokairu errentaren hazkunde handiena izan duen eremua Trintxerpe izan da (%25,4), segidan Antxokoa (%23,0) eta San Pedrokoa apalena (%13,2), jatorrizko prezioa altuagoa baitzuen (ikus </w:t>
      </w:r>
      <w:r>
        <w:rPr/>
        <w:fldChar w:fldCharType="begin"/>
      </w:r>
      <w:r>
        <w:rPr/>
        <w:instrText xml:space="preserve"> REF _Ref190849195 \h </w:instrText>
      </w:r>
      <w:r>
        <w:rPr/>
        <w:fldChar w:fldCharType="separate"/>
      </w:r>
      <w:r>
        <w:rPr/>
        <w:t>67. Grafikoa</w:t>
      </w:r>
      <w:r>
        <w:rPr/>
        <w:fldChar w:fldCharType="end"/>
      </w:r>
      <w:r>
        <w:rPr/>
        <w:t xml:space="preserve"> eta </w:t>
      </w:r>
      <w:r>
        <w:rPr/>
        <w:fldChar w:fldCharType="begin"/>
      </w:r>
      <w:r>
        <w:rPr/>
        <w:instrText xml:space="preserve"> REF _Ref190849209 \h </w:instrText>
      </w:r>
      <w:r>
        <w:rPr/>
        <w:fldChar w:fldCharType="separate"/>
      </w:r>
      <w:r>
        <w:rPr/>
        <w:t>38. Taula</w:t>
      </w:r>
      <w:r>
        <w:rPr/>
        <w:fldChar w:fldCharType="end"/>
      </w:r>
      <w:r>
        <w:rPr/>
        <w:t>).</w:t>
      </w:r>
      <w:r>
        <w:br w:type="page"/>
      </w:r>
    </w:p>
    <w:p>
      <w:pPr>
        <w:pStyle w:val="Caption"/>
        <w:rPr/>
      </w:pPr>
      <w:bookmarkStart w:id="317" w:name="_Toc191031141"/>
      <w:bookmarkStart w:id="318" w:name="_Ref190849195"/>
      <w:r>
        <w:rPr/>
        <w:fldChar w:fldCharType="begin"/>
      </w:r>
      <w:r>
        <w:rPr/>
        <w:instrText xml:space="preserve"> SEQ Grafikoa \* ARABIC </w:instrText>
      </w:r>
      <w:r>
        <w:rPr/>
        <w:fldChar w:fldCharType="separate"/>
      </w:r>
      <w:r>
        <w:rPr/>
        <w:t>67</w:t>
      </w:r>
      <w:r>
        <w:rPr/>
        <w:fldChar w:fldCharType="end"/>
      </w:r>
      <w:r>
        <w:rPr/>
        <w:t>. Grafikoa</w:t>
      </w:r>
      <w:bookmarkEnd w:id="318"/>
      <w:r>
        <w:rPr/>
        <w:t>: Alokairu libreko errentaren bilakaera kontratuaren hasiera urtearen arabera (kop.).</w:t>
        <w:br/>
        <w:t>Pasaia eta bere barrutiak, 2016-2023</w:t>
      </w:r>
      <w:bookmarkEnd w:id="317"/>
    </w:p>
    <w:p>
      <w:pPr>
        <w:pStyle w:val="Iturria"/>
        <w:rPr>
          <w:rStyle w:val="IturriaKar"/>
        </w:rPr>
      </w:pPr>
      <w:r>
        <w:rPr/>
        <w:drawing>
          <wp:inline distT="0" distB="0" distL="0" distR="0">
            <wp:extent cx="5391150" cy="3200400"/>
            <wp:effectExtent l="0" t="0" r="0" b="0"/>
            <wp:docPr id="76" name="Imagen62" descr="Hau duen irudia testua, pantaila-argazkia, Lurrazala, lerro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62" descr="Hau duen irudia testua, pantaila-argazkia, Lurrazala, lerroa&#10;&#10;Baliteke AAk sortutako edukia zuzena ez izatea."/>
                    <pic:cNvPicPr>
                      <a:picLocks noChangeAspect="1" noChangeArrowheads="1"/>
                    </pic:cNvPicPr>
                  </pic:nvPicPr>
                  <pic:blipFill>
                    <a:blip r:embed="rId77"/>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Lurralde Plangintza, Etxebizitza eta Garraio Saila.</w:t>
      </w:r>
    </w:p>
    <w:p>
      <w:pPr>
        <w:pStyle w:val="Iturria"/>
        <w:rPr>
          <w:rStyle w:val="IturriaKar"/>
        </w:rPr>
      </w:pPr>
      <w:r>
        <w:rPr/>
      </w:r>
    </w:p>
    <w:p>
      <w:pPr>
        <w:pStyle w:val="Caption"/>
        <w:rPr/>
      </w:pPr>
      <w:bookmarkStart w:id="319" w:name="_Toc191031181"/>
      <w:bookmarkStart w:id="320" w:name="_Ref190849209"/>
      <w:r>
        <w:rPr/>
        <w:fldChar w:fldCharType="begin"/>
      </w:r>
      <w:r>
        <w:rPr/>
        <w:instrText xml:space="preserve"> SEQ Taula \* ARABIC </w:instrText>
      </w:r>
      <w:r>
        <w:rPr/>
        <w:fldChar w:fldCharType="separate"/>
      </w:r>
      <w:r>
        <w:rPr/>
        <w:t>38</w:t>
      </w:r>
      <w:r>
        <w:rPr/>
        <w:fldChar w:fldCharType="end"/>
      </w:r>
      <w:r>
        <w:rPr/>
        <w:t>. Taula</w:t>
      </w:r>
      <w:bookmarkEnd w:id="320"/>
      <w:r>
        <w:rPr/>
        <w:t>: Alokairu libreko errentaren bilakaera kontratuaren hasiera urtearen arabera (kop.).</w:t>
        <w:br/>
        <w:t>Pasaia eta bere barrutiak, 2016-2023</w:t>
      </w:r>
      <w:bookmarkEnd w:id="319"/>
    </w:p>
    <w:tbl>
      <w:tblPr>
        <w:tblW w:w="864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039"/>
        <w:gridCol w:w="949"/>
        <w:gridCol w:w="951"/>
        <w:gridCol w:w="950"/>
        <w:gridCol w:w="950"/>
        <w:gridCol w:w="950"/>
        <w:gridCol w:w="951"/>
        <w:gridCol w:w="949"/>
        <w:gridCol w:w="950"/>
      </w:tblGrid>
      <w:tr>
        <w:trPr>
          <w:trHeight w:val="300" w:hRule="atLeast"/>
        </w:trPr>
        <w:tc>
          <w:tcPr>
            <w:tcW w:w="103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2016</w:t>
            </w:r>
          </w:p>
        </w:tc>
        <w:tc>
          <w:tcPr>
            <w:tcW w:w="95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5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5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4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50"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03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618,6</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623,8</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662,3</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673,5</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690,3</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682,9</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725,8</w:t>
            </w:r>
          </w:p>
        </w:tc>
        <w:tc>
          <w:tcPr>
            <w:tcW w:w="9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760,8</w:t>
            </w:r>
          </w:p>
        </w:tc>
      </w:tr>
      <w:tr>
        <w:trPr>
          <w:trHeight w:val="300" w:hRule="atLeast"/>
        </w:trPr>
        <w:tc>
          <w:tcPr>
            <w:tcW w:w="103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630,0</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691,3</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692,1</w:t>
            </w:r>
          </w:p>
        </w:tc>
        <w:tc>
          <w:tcPr>
            <w:tcW w:w="950" w:type="dxa"/>
            <w:tcBorders>
              <w:bottom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r>
      <w:tr>
        <w:trPr>
          <w:trHeight w:val="300" w:hRule="atLeast"/>
        </w:trPr>
        <w:tc>
          <w:tcPr>
            <w:tcW w:w="103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658,5</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655,6</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668,9</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665,6</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659,0</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707,4</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735,7</w:t>
            </w:r>
          </w:p>
        </w:tc>
        <w:tc>
          <w:tcPr>
            <w:tcW w:w="9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745,4</w:t>
            </w:r>
          </w:p>
        </w:tc>
      </w:tr>
      <w:tr>
        <w:trPr>
          <w:trHeight w:val="300" w:hRule="atLeast"/>
        </w:trPr>
        <w:tc>
          <w:tcPr>
            <w:tcW w:w="103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628,2</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647,0</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657,2</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696,1</w:t>
            </w:r>
          </w:p>
        </w:tc>
        <w:tc>
          <w:tcPr>
            <w:tcW w:w="95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702,0</w:t>
            </w:r>
          </w:p>
        </w:tc>
        <w:tc>
          <w:tcPr>
            <w:tcW w:w="95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711,9</w:t>
            </w:r>
          </w:p>
        </w:tc>
        <w:tc>
          <w:tcPr>
            <w:tcW w:w="94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737,1</w:t>
            </w:r>
          </w:p>
        </w:tc>
        <w:tc>
          <w:tcPr>
            <w:tcW w:w="950"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788,0</w:t>
            </w:r>
          </w:p>
        </w:tc>
      </w:tr>
      <w:tr>
        <w:trPr>
          <w:trHeight w:val="300" w:hRule="atLeast"/>
        </w:trPr>
        <w:tc>
          <w:tcPr>
            <w:tcW w:w="1039"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625,0</w:t>
            </w:r>
          </w:p>
        </w:tc>
        <w:tc>
          <w:tcPr>
            <w:tcW w:w="95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636,1</w:t>
            </w:r>
          </w:p>
        </w:tc>
        <w:tc>
          <w:tcPr>
            <w:tcW w:w="9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657,5</w:t>
            </w:r>
          </w:p>
        </w:tc>
        <w:tc>
          <w:tcPr>
            <w:tcW w:w="9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679,8</w:t>
            </w:r>
          </w:p>
        </w:tc>
        <w:tc>
          <w:tcPr>
            <w:tcW w:w="95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680,6</w:t>
            </w:r>
          </w:p>
        </w:tc>
        <w:tc>
          <w:tcPr>
            <w:tcW w:w="951"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699,5</w:t>
            </w:r>
          </w:p>
        </w:tc>
        <w:tc>
          <w:tcPr>
            <w:tcW w:w="949"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728,4</w:t>
            </w:r>
          </w:p>
        </w:tc>
        <w:tc>
          <w:tcPr>
            <w:tcW w:w="950"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771,5</w:t>
            </w:r>
          </w:p>
        </w:tc>
      </w:tr>
    </w:tbl>
    <w:p>
      <w:pPr>
        <w:pStyle w:val="Iturria"/>
        <w:rPr>
          <w:rStyle w:val="IturriaKar"/>
        </w:rPr>
      </w:pPr>
      <w:r>
        <w:rPr>
          <w:rStyle w:val="IturriaKar"/>
        </w:rPr>
        <w:t>Iturria: Eusko Jaurlaritzaren Lurralde Plangintza, Etxebizitza eta Garraio Saila.</w:t>
      </w:r>
    </w:p>
    <w:p>
      <w:pPr>
        <w:pStyle w:val="Iturria"/>
        <w:rPr>
          <w:rStyle w:val="IturriaKar"/>
        </w:rPr>
      </w:pPr>
      <w:r>
        <w:rPr/>
      </w:r>
    </w:p>
    <w:p>
      <w:pPr>
        <w:pStyle w:val="Iturria"/>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tulo1"/>
        <w:rPr/>
      </w:pPr>
      <w:bookmarkStart w:id="321" w:name="_Toc191031059"/>
      <w:r>
        <w:rPr/>
        <w:t>Etxebizitza-programen eta -politiken intzidentzia</w:t>
      </w:r>
      <w:bookmarkEnd w:id="321"/>
    </w:p>
    <w:p>
      <w:pPr>
        <w:pStyle w:val="Normal"/>
        <w:jc w:val="both"/>
        <w:rPr/>
      </w:pPr>
      <w:r>
        <w:rPr/>
        <w:t>Azken atal honen helburua udalerrian etxebizitza beharrari eta honek sortzen duen problematikari erantzuna emateko martxan dauden laguntzak kuantifikatzea eta hauen intzidentzia aztertzea da.</w:t>
      </w:r>
    </w:p>
    <w:p>
      <w:pPr>
        <w:pStyle w:val="Ttulo2"/>
        <w:rPr/>
      </w:pPr>
      <w:bookmarkStart w:id="322" w:name="_Toc191031060"/>
      <w:r>
        <w:rPr/>
        <w:t>Aldagai nagusiak</w:t>
      </w:r>
      <w:bookmarkEnd w:id="322"/>
    </w:p>
    <w:p>
      <w:pPr>
        <w:pStyle w:val="Normal"/>
        <w:jc w:val="both"/>
        <w:rPr/>
      </w:pPr>
      <w:bookmarkStart w:id="323" w:name="_Hlk190864698"/>
      <w:r>
        <w:rPr/>
        <w:t>Etxebizitzaren Euskal Behatokiaren urtarrila amaierako datuen arabera Pasaian babes publikoko 318 etxebizitza babestu daude, etxebizitza parke osoaren %4,1</w:t>
      </w:r>
      <w:bookmarkEnd w:id="323"/>
      <w:r>
        <w:rPr/>
        <w:t xml:space="preserve">. Halaber, kopuru horretatik 59 etxebizitza deskalifikatu dira eta merkatu librean saldu edo alokatu daitezke. Espediente motari dagokionez, </w:t>
      </w:r>
      <w:bookmarkStart w:id="324" w:name="_Hlk190864726"/>
      <w:r>
        <w:rPr/>
        <w:t xml:space="preserve">etxebizitzen hiru laurden baino gehiago (242 etxebizitza) Babes Ofizialeko Etxebizitzak (BOE) dira eta gainerako 76 etxebizitzak, berriz, etxebizitza sozialak (EESS) </w:t>
      </w:r>
      <w:bookmarkEnd w:id="324"/>
      <w:r>
        <w:rPr/>
        <w:t xml:space="preserve">(ikus </w:t>
      </w:r>
      <w:r>
        <w:rPr/>
        <w:fldChar w:fldCharType="begin"/>
      </w:r>
      <w:r>
        <w:rPr/>
        <w:instrText xml:space="preserve"> REF _Ref171324314 \h </w:instrText>
      </w:r>
      <w:r>
        <w:rPr/>
        <w:fldChar w:fldCharType="separate"/>
      </w:r>
      <w:r>
        <w:rPr/>
        <w:t>39. Taula</w:t>
      </w:r>
      <w:r>
        <w:rPr/>
        <w:fldChar w:fldCharType="end"/>
      </w:r>
      <w:r>
        <w:rPr/>
        <w:t xml:space="preserve"> eta </w:t>
      </w:r>
      <w:r>
        <w:rPr/>
        <w:fldChar w:fldCharType="begin"/>
      </w:r>
      <w:r>
        <w:rPr/>
        <w:instrText xml:space="preserve"> REF _Ref189815847 \h </w:instrText>
      </w:r>
      <w:r>
        <w:rPr/>
        <w:fldChar w:fldCharType="separate"/>
      </w:r>
      <w:r>
        <w:rPr/>
        <w:t>40. Taula</w:t>
      </w:r>
      <w:r>
        <w:rPr/>
        <w:fldChar w:fldCharType="end"/>
      </w:r>
      <w:r>
        <w:rPr/>
        <w:t xml:space="preserve">). </w:t>
      </w:r>
    </w:p>
    <w:p>
      <w:pPr>
        <w:pStyle w:val="Caption"/>
        <w:rPr/>
      </w:pPr>
      <w:bookmarkStart w:id="325" w:name="_Toc191031182"/>
      <w:bookmarkStart w:id="326" w:name="_Toc171936714"/>
      <w:bookmarkStart w:id="327" w:name="_Ref177027092"/>
      <w:bookmarkStart w:id="328" w:name="_Ref171324314"/>
      <w:r>
        <w:rPr/>
        <w:fldChar w:fldCharType="begin"/>
      </w:r>
      <w:r>
        <w:rPr/>
        <w:instrText xml:space="preserve"> SEQ Taula \* ARABIC </w:instrText>
      </w:r>
      <w:r>
        <w:rPr/>
        <w:fldChar w:fldCharType="separate"/>
      </w:r>
      <w:r>
        <w:rPr/>
        <w:t>39</w:t>
      </w:r>
      <w:r>
        <w:rPr/>
        <w:fldChar w:fldCharType="end"/>
      </w:r>
      <w:r>
        <w:rPr/>
        <w:t>. Taula</w:t>
      </w:r>
      <w:bookmarkEnd w:id="328"/>
      <w:r>
        <w:rPr/>
        <w:t>: Babestutako etxebizitza parkea egoeraren arabera (kop.).</w:t>
        <w:br/>
        <w:t>Pasaia, 2024</w:t>
      </w:r>
      <w:bookmarkEnd w:id="325"/>
      <w:bookmarkEnd w:id="326"/>
      <w:bookmarkEnd w:id="327"/>
    </w:p>
    <w:tbl>
      <w:tblPr>
        <w:tblW w:w="359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396"/>
        <w:gridCol w:w="1199"/>
      </w:tblGrid>
      <w:tr>
        <w:trPr>
          <w:trHeight w:val="315" w:hRule="atLeast"/>
        </w:trPr>
        <w:tc>
          <w:tcPr>
            <w:tcW w:w="2396" w:type="dxa"/>
            <w:tcBorders>
              <w:left w:val="single" w:sz="8" w:space="0" w:color="246873"/>
              <w:bottom w:val="single" w:sz="8" w:space="0" w:color="000000"/>
              <w:right w:val="single" w:sz="8"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Egoera</w:t>
            </w:r>
          </w:p>
        </w:tc>
        <w:tc>
          <w:tcPr>
            <w:tcW w:w="1199" w:type="dxa"/>
            <w:tcBorders>
              <w:bottom w:val="single" w:sz="8" w:space="0" w:color="000000"/>
              <w:right w:val="single" w:sz="8" w:space="0" w:color="246873"/>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Kopurua</w:t>
            </w:r>
          </w:p>
        </w:tc>
      </w:tr>
      <w:tr>
        <w:trPr>
          <w:trHeight w:val="315" w:hRule="atLeast"/>
        </w:trPr>
        <w:tc>
          <w:tcPr>
            <w:tcW w:w="239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Kalifikatuta eta amaituta</w:t>
            </w:r>
          </w:p>
        </w:tc>
        <w:tc>
          <w:tcPr>
            <w:tcW w:w="1199"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259</w:t>
            </w:r>
          </w:p>
        </w:tc>
      </w:tr>
      <w:tr>
        <w:trPr>
          <w:trHeight w:val="315" w:hRule="atLeast"/>
        </w:trPr>
        <w:tc>
          <w:tcPr>
            <w:tcW w:w="239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Deskalifikatuta</w:t>
            </w:r>
          </w:p>
        </w:tc>
        <w:tc>
          <w:tcPr>
            <w:tcW w:w="1199"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59</w:t>
            </w:r>
          </w:p>
        </w:tc>
      </w:tr>
      <w:tr>
        <w:trPr>
          <w:trHeight w:val="300" w:hRule="atLeast"/>
        </w:trPr>
        <w:tc>
          <w:tcPr>
            <w:tcW w:w="2396" w:type="dxa"/>
            <w:tcBorders>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199" w:type="dxa"/>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318</w:t>
            </w:r>
          </w:p>
        </w:tc>
      </w:tr>
    </w:tbl>
    <w:p>
      <w:pPr>
        <w:pStyle w:val="Normal"/>
        <w:jc w:val="right"/>
        <w:rPr>
          <w:rStyle w:val="IturriaKar"/>
        </w:rPr>
      </w:pPr>
      <w:r>
        <w:rPr/>
        <w:tab/>
      </w:r>
      <w:r>
        <w:rPr>
          <w:rStyle w:val="IturriaKar"/>
        </w:rPr>
        <w:t>Iturria: Eusko Jaurlaritzaren Lurralde Plangintza, Etxebizitza eta Garraio Saila.</w:t>
      </w:r>
    </w:p>
    <w:p>
      <w:pPr>
        <w:pStyle w:val="Normal"/>
        <w:jc w:val="right"/>
        <w:rPr>
          <w:rStyle w:val="IturriaKar"/>
        </w:rPr>
      </w:pPr>
      <w:r>
        <w:rPr/>
      </w:r>
    </w:p>
    <w:p>
      <w:pPr>
        <w:pStyle w:val="Caption"/>
        <w:rPr/>
      </w:pPr>
      <w:bookmarkStart w:id="329" w:name="_Toc191031183"/>
      <w:bookmarkStart w:id="330" w:name="_Ref189815847"/>
      <w:r>
        <w:rPr/>
        <w:fldChar w:fldCharType="begin"/>
      </w:r>
      <w:r>
        <w:rPr/>
        <w:instrText xml:space="preserve"> SEQ Taula \* ARABIC </w:instrText>
      </w:r>
      <w:r>
        <w:rPr/>
        <w:fldChar w:fldCharType="separate"/>
      </w:r>
      <w:r>
        <w:rPr/>
        <w:t>40</w:t>
      </w:r>
      <w:r>
        <w:rPr/>
        <w:fldChar w:fldCharType="end"/>
      </w:r>
      <w:r>
        <w:rPr/>
        <w:t>. Taula</w:t>
      </w:r>
      <w:bookmarkEnd w:id="330"/>
      <w:r>
        <w:rPr/>
        <w:t>: Babestutako etxebizitza parkea espediente motaren arabera (kop.).</w:t>
        <w:br/>
        <w:t>Pasaia, 2024</w:t>
      </w:r>
      <w:bookmarkEnd w:id="329"/>
    </w:p>
    <w:tbl>
      <w:tblPr>
        <w:tblW w:w="359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396"/>
        <w:gridCol w:w="1199"/>
      </w:tblGrid>
      <w:tr>
        <w:trPr>
          <w:trHeight w:val="315" w:hRule="atLeast"/>
        </w:trPr>
        <w:tc>
          <w:tcPr>
            <w:tcW w:w="2396" w:type="dxa"/>
            <w:tcBorders>
              <w:left w:val="single" w:sz="8" w:space="0" w:color="246873"/>
              <w:bottom w:val="single" w:sz="8" w:space="0" w:color="000000"/>
              <w:right w:val="single" w:sz="8"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Espediente mota</w:t>
            </w:r>
          </w:p>
        </w:tc>
        <w:tc>
          <w:tcPr>
            <w:tcW w:w="1199" w:type="dxa"/>
            <w:tcBorders>
              <w:bottom w:val="single" w:sz="8" w:space="0" w:color="000000"/>
              <w:right w:val="single" w:sz="8" w:space="0" w:color="246873"/>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Kopurua</w:t>
            </w:r>
          </w:p>
        </w:tc>
      </w:tr>
      <w:tr>
        <w:trPr>
          <w:trHeight w:val="315" w:hRule="atLeast"/>
        </w:trPr>
        <w:tc>
          <w:tcPr>
            <w:tcW w:w="239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BOE</w:t>
            </w:r>
          </w:p>
        </w:tc>
        <w:tc>
          <w:tcPr>
            <w:tcW w:w="1199"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242</w:t>
            </w:r>
          </w:p>
        </w:tc>
      </w:tr>
      <w:tr>
        <w:trPr>
          <w:trHeight w:val="315" w:hRule="atLeast"/>
        </w:trPr>
        <w:tc>
          <w:tcPr>
            <w:tcW w:w="239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EESS</w:t>
            </w:r>
          </w:p>
        </w:tc>
        <w:tc>
          <w:tcPr>
            <w:tcW w:w="1199"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r>
      <w:tr>
        <w:trPr>
          <w:trHeight w:val="300" w:hRule="atLeast"/>
        </w:trPr>
        <w:tc>
          <w:tcPr>
            <w:tcW w:w="2396" w:type="dxa"/>
            <w:tcBorders>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199" w:type="dxa"/>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318</w:t>
            </w:r>
          </w:p>
        </w:tc>
      </w:tr>
    </w:tbl>
    <w:p>
      <w:pPr>
        <w:pStyle w:val="Normal"/>
        <w:jc w:val="right"/>
        <w:rPr>
          <w:rStyle w:val="IturriaKar"/>
        </w:rPr>
      </w:pPr>
      <w:r>
        <w:rPr/>
        <w:tab/>
      </w:r>
      <w:r>
        <w:rPr>
          <w:rStyle w:val="IturriaKar"/>
        </w:rPr>
        <w:t>Iturria: Eusko Jaurlaritzaren Lurralde Plangintza, Etxebizitza eta Garraio Saila.</w:t>
      </w:r>
    </w:p>
    <w:p>
      <w:pPr>
        <w:pStyle w:val="Normal"/>
        <w:jc w:val="right"/>
        <w:rPr>
          <w:rStyle w:val="IturriaKar"/>
        </w:rPr>
      </w:pPr>
      <w:r>
        <w:rPr/>
      </w:r>
    </w:p>
    <w:p>
      <w:pPr>
        <w:pStyle w:val="Normal"/>
        <w:jc w:val="both"/>
        <w:rPr/>
      </w:pPr>
      <w:r>
        <w:rPr/>
        <w:t xml:space="preserve">Dirulaguntzei dagokionez, Diru-sarrerak Bermatzeko Errenta (DBE) jasotzen dutenei Etxebizitzarako Prestazio Osagarria (EPO) esleitzen zaie. Lanbideren 2024ko abenduko datuen arabera </w:t>
      </w:r>
      <w:bookmarkStart w:id="331" w:name="_Hlk190864788"/>
      <w:r>
        <w:rPr/>
        <w:t xml:space="preserve">Pasaian 135 pertsonek jasotzen dute EPO laguntza osagarria. Pertsona horietatik 74 emakumeak dira, gehiengoak oinarrizko formazio maila du (80 pertsona) eta adin tarteari dagokionez dibertsitate handia badago ere, baina 35 urtetik beherako pertsonak 31 bakarrik dira (ikus </w:t>
      </w:r>
      <w:r>
        <w:rPr/>
        <w:fldChar w:fldCharType="begin"/>
      </w:r>
      <w:r>
        <w:rPr/>
        <w:instrText xml:space="preserve"> REF _Ref171324396 \h </w:instrText>
      </w:r>
      <w:r>
        <w:rPr/>
        <w:fldChar w:fldCharType="separate"/>
      </w:r>
      <w:r>
        <w:rPr/>
        <w:t>41. Taula</w:t>
      </w:r>
      <w:r>
        <w:rPr/>
        <w:fldChar w:fldCharType="end"/>
      </w:r>
      <w:r>
        <w:rPr/>
        <w:t>).</w:t>
      </w:r>
    </w:p>
    <w:p>
      <w:pPr>
        <w:pStyle w:val="Normal"/>
        <w:jc w:val="both"/>
        <w:rPr/>
      </w:pPr>
      <w:r>
        <w:rPr/>
        <w:t xml:space="preserve">Gaztelagun programari dagokionez, Eusko Jaurlaritzak pasaitarren 164 espediente kudeatu ditu. Momentu honetan 69 espediente daude aktibo eta 32 itxi dira dagoeneko. Gainerako 63 espedienteei ez zaie oraindik dirulaguntzarik esleitu edo ez dagokie inongo prestaziorik. Eskatzaileen profilari dagokionez %63,4 (104 pertsona) emakumeak dira eta %57,3 (94 pertsona) 24-29 urte arteko multzoan dago (ikus </w:t>
      </w:r>
      <w:r>
        <w:rPr/>
        <w:fldChar w:fldCharType="begin"/>
      </w:r>
      <w:r>
        <w:rPr/>
        <w:instrText xml:space="preserve"> REF _Ref171325766 \h </w:instrText>
      </w:r>
      <w:r>
        <w:rPr/>
        <w:fldChar w:fldCharType="separate"/>
      </w:r>
      <w:r>
        <w:rPr/>
        <w:t>42. Taula</w:t>
      </w:r>
      <w:r>
        <w:rPr/>
        <w:fldChar w:fldCharType="end"/>
      </w:r>
      <w:r>
        <w:rPr/>
        <w:t>).</w:t>
      </w:r>
      <w:bookmarkEnd w:id="331"/>
    </w:p>
    <w:p>
      <w:pPr>
        <w:pStyle w:val="Normal"/>
        <w:rPr/>
      </w:pPr>
      <w:r>
        <w:rPr/>
      </w:r>
      <w:r>
        <w:br w:type="page"/>
      </w:r>
    </w:p>
    <w:p>
      <w:pPr>
        <w:pStyle w:val="Caption"/>
        <w:rPr/>
      </w:pPr>
      <w:bookmarkStart w:id="332" w:name="_Toc191031184"/>
      <w:bookmarkStart w:id="333" w:name="_Toc171936715"/>
      <w:bookmarkStart w:id="334" w:name="_Ref171324396"/>
      <w:r>
        <w:rPr/>
        <w:fldChar w:fldCharType="begin"/>
      </w:r>
      <w:r>
        <w:rPr/>
        <w:instrText xml:space="preserve"> SEQ Taula \* ARABIC </w:instrText>
      </w:r>
      <w:r>
        <w:rPr/>
        <w:fldChar w:fldCharType="separate"/>
      </w:r>
      <w:r>
        <w:rPr/>
        <w:t>41</w:t>
      </w:r>
      <w:r>
        <w:rPr/>
        <w:fldChar w:fldCharType="end"/>
      </w:r>
      <w:r>
        <w:rPr/>
        <w:t>. Taula</w:t>
      </w:r>
      <w:bookmarkEnd w:id="334"/>
      <w:r>
        <w:rPr/>
        <w:t>: EPO onuradunak ezaugarrien arabera (kop.).</w:t>
        <w:br/>
        <w:t>Pasaia, 2024</w:t>
      </w:r>
      <w:bookmarkEnd w:id="332"/>
      <w:bookmarkEnd w:id="333"/>
    </w:p>
    <w:tbl>
      <w:tblPr>
        <w:tblW w:w="643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552"/>
        <w:gridCol w:w="2679"/>
        <w:gridCol w:w="1201"/>
      </w:tblGrid>
      <w:tr>
        <w:trPr>
          <w:trHeight w:val="340" w:hRule="atLeast"/>
        </w:trPr>
        <w:tc>
          <w:tcPr>
            <w:tcW w:w="5231" w:type="dxa"/>
            <w:gridSpan w:val="2"/>
            <w:tcBorders>
              <w:top w:val="single" w:sz="8" w:space="0" w:color="246873"/>
              <w:bottom w:val="single" w:sz="8" w:space="0" w:color="000000"/>
              <w:right w:val="single" w:sz="8"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Ezaugarriak</w:t>
            </w:r>
          </w:p>
        </w:tc>
        <w:tc>
          <w:tcPr>
            <w:tcW w:w="1201" w:type="dxa"/>
            <w:tcBorders>
              <w:top w:val="single" w:sz="8" w:space="0" w:color="246873"/>
              <w:bottom w:val="single" w:sz="8"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Kopurua</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Adin tartea</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16tik 19ra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20tik 24ra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25etik 29ra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30etik 34ra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35etik 39ra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40tik 44ra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45etik 49ra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50etik 54ra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55etik 59a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60tik 64ra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&gt;65</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Tartetik kanpo</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Ikasketa maila lan eskaeran</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Oinarrizkoak</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Batxilerra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LH</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Unibertsitatekoak</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Zehaztu gabe</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Bizikidetza-unitateko kide kopurua</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Kide 1</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 kide</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 kide</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 kide</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 kide edo gehiago</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Modalitatea</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Ez da aplikatzen</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Laneko diru sarrerak osatzeko</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45</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Oinarrizkoa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Egoera Zibila</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Ezkongabea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77</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Ezkondua edo parekoa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19</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Banandua edo parekoa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Alarguna</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&lt;5</w:t>
            </w:r>
          </w:p>
        </w:tc>
      </w:tr>
      <w:tr>
        <w:trPr>
          <w:trHeight w:val="330" w:hRule="atLeast"/>
        </w:trPr>
        <w:tc>
          <w:tcPr>
            <w:tcW w:w="2552" w:type="dxa"/>
            <w:vMerge w:val="restart"/>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Sexua</w:t>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Zehaztu gabe</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Gizonezkoak</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61</w:t>
            </w:r>
          </w:p>
        </w:tc>
      </w:tr>
      <w:tr>
        <w:trPr>
          <w:trHeight w:val="330" w:hRule="atLeast"/>
        </w:trPr>
        <w:tc>
          <w:tcPr>
            <w:tcW w:w="2552" w:type="dxa"/>
            <w:vMerge w:val="continue"/>
            <w:tcBorders>
              <w:bottom w:val="single" w:sz="8" w:space="0" w:color="000000"/>
              <w:right w:val="single" w:sz="8"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67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Emakumezkoak</w:t>
            </w:r>
          </w:p>
        </w:tc>
        <w:tc>
          <w:tcPr>
            <w:tcW w:w="1201" w:type="dxa"/>
            <w:tcBorders>
              <w:bottom w:val="single" w:sz="8"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w:t>
            </w:r>
          </w:p>
        </w:tc>
      </w:tr>
      <w:tr>
        <w:trPr>
          <w:trHeight w:val="420" w:hRule="atLeast"/>
        </w:trPr>
        <w:tc>
          <w:tcPr>
            <w:tcW w:w="5231" w:type="dxa"/>
            <w:gridSpan w:val="2"/>
            <w:tcBorders>
              <w:top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201" w:type="dxa"/>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135</w:t>
            </w:r>
          </w:p>
        </w:tc>
      </w:tr>
    </w:tbl>
    <w:p>
      <w:pPr>
        <w:pStyle w:val="Normal"/>
        <w:jc w:val="right"/>
        <w:rPr>
          <w:rStyle w:val="IturriaKar"/>
        </w:rPr>
      </w:pPr>
      <w:r>
        <w:rPr>
          <w:rStyle w:val="IturriaKar"/>
        </w:rPr>
        <w:t>Iturria: Lanbide.</w:t>
      </w:r>
    </w:p>
    <w:p>
      <w:pPr>
        <w:pStyle w:val="Normal"/>
        <w:jc w:val="right"/>
        <w:rPr/>
      </w:pPr>
      <w:r>
        <w:rPr/>
      </w:r>
    </w:p>
    <w:p>
      <w:pPr>
        <w:pStyle w:val="Caption"/>
        <w:rPr/>
      </w:pPr>
      <w:bookmarkStart w:id="335" w:name="_Toc191031185"/>
      <w:bookmarkStart w:id="336" w:name="_Toc171936716"/>
      <w:bookmarkStart w:id="337" w:name="_Ref171325766"/>
      <w:r>
        <w:rPr/>
        <w:fldChar w:fldCharType="begin"/>
      </w:r>
      <w:r>
        <w:rPr/>
        <w:instrText xml:space="preserve"> SEQ Taula \* ARABIC </w:instrText>
      </w:r>
      <w:r>
        <w:rPr/>
        <w:fldChar w:fldCharType="separate"/>
      </w:r>
      <w:r>
        <w:rPr/>
        <w:t>42</w:t>
      </w:r>
      <w:r>
        <w:rPr/>
        <w:fldChar w:fldCharType="end"/>
      </w:r>
      <w:r>
        <w:rPr/>
        <w:t>. Taula</w:t>
      </w:r>
      <w:bookmarkEnd w:id="337"/>
      <w:r>
        <w:rPr/>
        <w:t>: Gaztelagun programako onuradunak ezaugarrien arabera (kop.).</w:t>
        <w:br/>
        <w:t>Pasaia, 2024</w:t>
      </w:r>
      <w:bookmarkEnd w:id="335"/>
      <w:bookmarkEnd w:id="336"/>
    </w:p>
    <w:tbl>
      <w:tblPr>
        <w:tblW w:w="850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370"/>
        <w:gridCol w:w="1324"/>
        <w:gridCol w:w="1046"/>
        <w:gridCol w:w="216"/>
        <w:gridCol w:w="1147"/>
        <w:gridCol w:w="1133"/>
        <w:gridCol w:w="1086"/>
        <w:gridCol w:w="1181"/>
      </w:tblGrid>
      <w:tr>
        <w:trPr>
          <w:trHeight w:val="315" w:hRule="atLeast"/>
        </w:trPr>
        <w:tc>
          <w:tcPr>
            <w:tcW w:w="1370" w:type="dxa"/>
            <w:vMerge w:val="restart"/>
            <w:tcBorders>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 </w:t>
            </w:r>
            <w:r>
              <w:rPr>
                <w:rFonts w:eastAsia="Times New Roman" w:cs="Calibri Light"/>
                <w:b/>
                <w:bCs/>
                <w:color w:val="FFFFFF"/>
                <w:kern w:val="0"/>
                <w:sz w:val="20"/>
                <w:szCs w:val="20"/>
                <w:lang w:eastAsia="eu-ES"/>
                <w14:ligatures w14:val="none"/>
              </w:rPr>
              <w:t>Egoera</w:t>
            </w:r>
          </w:p>
        </w:tc>
        <w:tc>
          <w:tcPr>
            <w:tcW w:w="1324" w:type="dxa"/>
            <w:vMerge w:val="restart"/>
            <w:tcBorders>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 </w:t>
            </w:r>
            <w:r>
              <w:rPr>
                <w:rFonts w:eastAsia="Times New Roman" w:cs="Calibri Light"/>
                <w:b/>
                <w:bCs/>
                <w:color w:val="FFFFFF"/>
                <w:kern w:val="0"/>
                <w:sz w:val="20"/>
                <w:szCs w:val="20"/>
                <w:lang w:eastAsia="eu-ES"/>
                <w14:ligatures w14:val="none"/>
              </w:rPr>
              <w:t>Sexua</w:t>
            </w:r>
          </w:p>
        </w:tc>
        <w:tc>
          <w:tcPr>
            <w:tcW w:w="1046" w:type="dxa"/>
            <w:tcBorders>
              <w:left w:val="single" w:sz="4" w:space="0" w:color="000000"/>
              <w:bottom w:val="single" w:sz="4" w:space="0" w:color="000000"/>
              <w:right w:val="single" w:sz="4" w:space="0" w:color="000000"/>
            </w:tcBorders>
            <w:shd w:color="000000" w:fill="000000" w:val="clea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r>
          </w:p>
        </w:tc>
        <w:tc>
          <w:tcPr>
            <w:tcW w:w="4763" w:type="dxa"/>
            <w:gridSpan w:val="5"/>
            <w:tcBorders>
              <w:left w:val="single" w:sz="4" w:space="0" w:color="000000"/>
              <w:bottom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Adin tartea</w:t>
            </w:r>
          </w:p>
        </w:tc>
      </w:tr>
      <w:tr>
        <w:trPr>
          <w:trHeight w:val="315" w:hRule="atLeast"/>
        </w:trPr>
        <w:tc>
          <w:tcPr>
            <w:tcW w:w="1370" w:type="dxa"/>
            <w:vMerge w:val="continue"/>
            <w:tcBorders>
              <w:top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r>
          </w:p>
        </w:tc>
        <w:tc>
          <w:tcPr>
            <w:tcW w:w="1324" w:type="dxa"/>
            <w:vMerge w:val="continue"/>
            <w:tcBorders>
              <w:top w:val="single" w:sz="4" w:space="0" w:color="000000"/>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r>
          </w:p>
        </w:tc>
        <w:tc>
          <w:tcPr>
            <w:tcW w:w="1262" w:type="dxa"/>
            <w:gridSpan w:val="2"/>
            <w:tcBorders>
              <w:top w:val="single" w:sz="4" w:space="0" w:color="000000"/>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18-23 urte</w:t>
            </w:r>
          </w:p>
        </w:tc>
        <w:tc>
          <w:tcPr>
            <w:tcW w:w="1147" w:type="dxa"/>
            <w:tcBorders>
              <w:top w:val="single" w:sz="4" w:space="0" w:color="000000"/>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24-29 urte</w:t>
            </w:r>
          </w:p>
        </w:tc>
        <w:tc>
          <w:tcPr>
            <w:tcW w:w="1133" w:type="dxa"/>
            <w:tcBorders>
              <w:top w:val="single" w:sz="4" w:space="0" w:color="000000"/>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30-35 urte</w:t>
            </w:r>
          </w:p>
        </w:tc>
        <w:tc>
          <w:tcPr>
            <w:tcW w:w="1086" w:type="dxa"/>
            <w:tcBorders>
              <w:top w:val="single" w:sz="4" w:space="0" w:color="000000"/>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w:t>
            </w:r>
            <w:r>
              <w:rPr>
                <w:rFonts w:eastAsia="Times New Roman" w:cs="Calibri Light"/>
                <w:b/>
                <w:bCs/>
                <w:color w:val="FFFFFF"/>
                <w:kern w:val="0"/>
                <w:sz w:val="20"/>
                <w:szCs w:val="20"/>
                <w:lang w:eastAsia="eu-ES"/>
                <w14:ligatures w14:val="none"/>
              </w:rPr>
              <w:t>35 urte</w:t>
            </w:r>
          </w:p>
        </w:tc>
        <w:tc>
          <w:tcPr>
            <w:tcW w:w="1181" w:type="dxa"/>
            <w:tcBorders>
              <w:top w:val="single" w:sz="4" w:space="0" w:color="000000"/>
              <w:left w:val="single" w:sz="4" w:space="0" w:color="000000"/>
              <w:bottom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15" w:hRule="atLeast"/>
        </w:trPr>
        <w:tc>
          <w:tcPr>
            <w:tcW w:w="1370"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Diru laguntzari ez</w:t>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r>
      <w:tr>
        <w:trPr>
          <w:trHeight w:val="315" w:hRule="atLeast"/>
        </w:trPr>
        <w:tc>
          <w:tcPr>
            <w:tcW w:w="1370"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43</w:t>
            </w:r>
          </w:p>
        </w:tc>
      </w:tr>
      <w:tr>
        <w:trPr>
          <w:trHeight w:val="315" w:hRule="atLeast"/>
        </w:trPr>
        <w:tc>
          <w:tcPr>
            <w:tcW w:w="1370"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Amaituta</w:t>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w:t>
            </w:r>
          </w:p>
        </w:tc>
      </w:tr>
      <w:tr>
        <w:trPr>
          <w:trHeight w:val="315" w:hRule="atLeast"/>
        </w:trPr>
        <w:tc>
          <w:tcPr>
            <w:tcW w:w="1370"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w:t>
            </w:r>
          </w:p>
        </w:tc>
      </w:tr>
      <w:tr>
        <w:trPr>
          <w:trHeight w:val="315" w:hRule="atLeast"/>
        </w:trPr>
        <w:tc>
          <w:tcPr>
            <w:tcW w:w="1370"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Amaitu gabe</w:t>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29</w:t>
            </w:r>
          </w:p>
        </w:tc>
      </w:tr>
      <w:tr>
        <w:trPr>
          <w:trHeight w:val="315" w:hRule="atLeast"/>
        </w:trPr>
        <w:tc>
          <w:tcPr>
            <w:tcW w:w="1370"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3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2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w:t>
            </w:r>
          </w:p>
        </w:tc>
        <w:tc>
          <w:tcPr>
            <w:tcW w:w="108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w:t>
            </w:r>
          </w:p>
        </w:tc>
        <w:tc>
          <w:tcPr>
            <w:tcW w:w="118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40</w:t>
            </w:r>
          </w:p>
        </w:tc>
      </w:tr>
      <w:tr>
        <w:trPr>
          <w:trHeight w:val="300" w:hRule="atLeast"/>
        </w:trPr>
        <w:tc>
          <w:tcPr>
            <w:tcW w:w="2694" w:type="dxa"/>
            <w:gridSpan w:val="2"/>
            <w:tcBorders>
              <w:top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262" w:type="dxa"/>
            <w:gridSpan w:val="2"/>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34</w:t>
            </w:r>
          </w:p>
        </w:tc>
        <w:tc>
          <w:tcPr>
            <w:tcW w:w="1147"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94</w:t>
            </w:r>
          </w:p>
        </w:tc>
        <w:tc>
          <w:tcPr>
            <w:tcW w:w="1133"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35</w:t>
            </w:r>
          </w:p>
        </w:tc>
        <w:tc>
          <w:tcPr>
            <w:tcW w:w="1086" w:type="dxa"/>
            <w:tcBorders>
              <w:top w:val="single" w:sz="4" w:space="0" w:color="000000"/>
              <w:left w:val="single" w:sz="4" w:space="0" w:color="000000"/>
              <w:right w:val="single" w:sz="4" w:space="0" w:color="000000"/>
            </w:tcBorders>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w:t>
            </w:r>
          </w:p>
        </w:tc>
        <w:tc>
          <w:tcPr>
            <w:tcW w:w="1181" w:type="dxa"/>
            <w:tcBorders>
              <w:top w:val="single" w:sz="4" w:space="0" w:color="000000"/>
              <w:lef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164</w:t>
            </w:r>
          </w:p>
        </w:tc>
      </w:tr>
    </w:tbl>
    <w:p>
      <w:pPr>
        <w:pStyle w:val="Normal"/>
        <w:jc w:val="right"/>
        <w:rPr>
          <w:rStyle w:val="IturriaKar"/>
        </w:rPr>
      </w:pPr>
      <w:r>
        <w:rPr>
          <w:rStyle w:val="IturriaKar"/>
        </w:rPr>
        <w:t>Iturria: Eusko Jaurlaritza.</w:t>
      </w:r>
    </w:p>
    <w:p>
      <w:pPr>
        <w:pStyle w:val="Normal"/>
        <w:jc w:val="both"/>
        <w:rPr>
          <w:rStyle w:val="IturriaKar"/>
        </w:rPr>
      </w:pPr>
      <w:r>
        <w:rPr/>
        <w:t xml:space="preserve">Halaber, etxebizitza eskuratzeko eskubide subjektiboaren baitan 2024ko urtarrilaren amaierako datarekin Eusko Jaurlaritzak Pasaiako 34 espediente ditu aktibo. Horien artean etxebizitza esleitu zitzaion 16 espedienteri eta beste 7 eskaeretan lehentasunezko esleipen egoera aitortu zitzaien. Gaur gaurkoz, programa horren barruan Etxebizitzarako Prestazio Ekonomikoa (EPE) jasotzen duten 11 pertsona ere badaude (ikus </w:t>
      </w:r>
      <w:r>
        <w:rPr/>
        <w:fldChar w:fldCharType="begin"/>
      </w:r>
      <w:r>
        <w:rPr/>
        <w:instrText xml:space="preserve"> REF _Ref171326631 \h </w:instrText>
      </w:r>
      <w:r>
        <w:rPr/>
        <w:fldChar w:fldCharType="separate"/>
      </w:r>
      <w:r>
        <w:rPr/>
        <w:t>43. Taula</w:t>
      </w:r>
      <w:r>
        <w:rPr/>
        <w:fldChar w:fldCharType="end"/>
      </w:r>
      <w:r>
        <w:rPr/>
        <w:t xml:space="preserve">).   </w:t>
      </w:r>
    </w:p>
    <w:p>
      <w:pPr>
        <w:pStyle w:val="Caption"/>
        <w:rPr/>
      </w:pPr>
      <w:bookmarkStart w:id="338" w:name="_Toc191031186"/>
      <w:bookmarkStart w:id="339" w:name="_Toc171936717"/>
      <w:bookmarkStart w:id="340" w:name="_Ref171326631"/>
      <w:r>
        <w:rPr/>
        <w:fldChar w:fldCharType="begin"/>
      </w:r>
      <w:r>
        <w:rPr/>
        <w:instrText xml:space="preserve"> SEQ Taula \* ARABIC </w:instrText>
      </w:r>
      <w:r>
        <w:rPr/>
        <w:fldChar w:fldCharType="separate"/>
      </w:r>
      <w:r>
        <w:rPr/>
        <w:t>43</w:t>
      </w:r>
      <w:r>
        <w:rPr/>
        <w:fldChar w:fldCharType="end"/>
      </w:r>
      <w:r>
        <w:rPr/>
        <w:t>. Taula</w:t>
      </w:r>
      <w:bookmarkEnd w:id="340"/>
      <w:r>
        <w:rPr/>
        <w:t>: Etxebizitza eskuratzeko eskabideak ezaugarrien arabera (kop.).</w:t>
        <w:br/>
        <w:t>Pasaia, 2024</w:t>
      </w:r>
      <w:bookmarkEnd w:id="338"/>
      <w:bookmarkEnd w:id="339"/>
    </w:p>
    <w:tbl>
      <w:tblPr>
        <w:tblW w:w="580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125"/>
        <w:gridCol w:w="2124"/>
        <w:gridCol w:w="1553"/>
      </w:tblGrid>
      <w:tr>
        <w:trPr>
          <w:trHeight w:val="315" w:hRule="atLeast"/>
        </w:trPr>
        <w:tc>
          <w:tcPr>
            <w:tcW w:w="2125" w:type="dxa"/>
            <w:tcBorders>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Mota</w:t>
            </w:r>
          </w:p>
        </w:tc>
        <w:tc>
          <w:tcPr>
            <w:tcW w:w="2124" w:type="dxa"/>
            <w:tcBorders>
              <w:left w:val="single" w:sz="4" w:space="0" w:color="000000"/>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Sexua</w:t>
            </w:r>
          </w:p>
        </w:tc>
        <w:tc>
          <w:tcPr>
            <w:tcW w:w="1553" w:type="dxa"/>
            <w:tcBorders>
              <w:left w:val="single" w:sz="4" w:space="0" w:color="000000"/>
              <w:bottom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Orotara</w:t>
            </w:r>
          </w:p>
        </w:tc>
      </w:tr>
      <w:tr>
        <w:trPr>
          <w:trHeight w:val="315" w:hRule="atLeast"/>
        </w:trPr>
        <w:tc>
          <w:tcPr>
            <w:tcW w:w="2125"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Etxebizitza esleipena</w:t>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r>
      <w:tr>
        <w:trPr>
          <w:trHeight w:val="315" w:hRule="atLeast"/>
        </w:trPr>
        <w:tc>
          <w:tcPr>
            <w:tcW w:w="2125"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w:t>
            </w:r>
          </w:p>
        </w:tc>
      </w:tr>
      <w:tr>
        <w:trPr>
          <w:trHeight w:val="315" w:hRule="atLeast"/>
        </w:trPr>
        <w:tc>
          <w:tcPr>
            <w:tcW w:w="2125"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Lehentasunezko esleipena</w:t>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r>
      <w:tr>
        <w:trPr>
          <w:trHeight w:val="315" w:hRule="atLeast"/>
        </w:trPr>
        <w:tc>
          <w:tcPr>
            <w:tcW w:w="2125"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w:t>
            </w:r>
          </w:p>
        </w:tc>
      </w:tr>
      <w:tr>
        <w:trPr>
          <w:trHeight w:val="315" w:hRule="atLeast"/>
        </w:trPr>
        <w:tc>
          <w:tcPr>
            <w:tcW w:w="2125"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EPE</w:t>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Gizonak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w:t>
            </w:r>
          </w:p>
        </w:tc>
      </w:tr>
      <w:tr>
        <w:trPr>
          <w:trHeight w:val="315" w:hRule="atLeast"/>
        </w:trPr>
        <w:tc>
          <w:tcPr>
            <w:tcW w:w="2125" w:type="dxa"/>
            <w:vMerge w:val="continue"/>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21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Emakumeak</w:t>
            </w:r>
          </w:p>
        </w:tc>
        <w:tc>
          <w:tcPr>
            <w:tcW w:w="1553"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w:t>
            </w:r>
          </w:p>
        </w:tc>
      </w:tr>
      <w:tr>
        <w:trPr>
          <w:trHeight w:val="300" w:hRule="atLeast"/>
        </w:trPr>
        <w:tc>
          <w:tcPr>
            <w:tcW w:w="4249" w:type="dxa"/>
            <w:gridSpan w:val="2"/>
            <w:tcBorders>
              <w:top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1553" w:type="dxa"/>
            <w:tcBorders>
              <w:top w:val="single" w:sz="4" w:space="0" w:color="000000"/>
              <w:left w:val="single" w:sz="4" w:space="0" w:color="000000"/>
            </w:tcBorders>
            <w:shd w:color="auto" w:fill="auto" w:val="clear"/>
            <w:vAlign w:val="center"/>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34</w:t>
            </w:r>
          </w:p>
        </w:tc>
      </w:tr>
    </w:tbl>
    <w:p>
      <w:pPr>
        <w:pStyle w:val="Normal"/>
        <w:jc w:val="right"/>
        <w:rPr>
          <w:rStyle w:val="IturriaKar"/>
        </w:rPr>
      </w:pPr>
      <w:r>
        <w:rPr>
          <w:rStyle w:val="IturriaKar"/>
        </w:rPr>
        <w:t>Iturria: Eusko Jaurlaritza.</w:t>
      </w:r>
    </w:p>
    <w:p>
      <w:pPr>
        <w:pStyle w:val="Normal"/>
        <w:jc w:val="both"/>
        <w:rPr/>
      </w:pPr>
      <w:r>
        <w:rPr/>
        <w:t xml:space="preserve">Azkenik, udalerriko 40 etxebizitza daude Bizigune programaren barruan eta ASAP programan (merkatu libreko etxebizitzen alokairurako bitartekaritza-programa), berriz, hiru bakarrik. </w:t>
      </w:r>
    </w:p>
    <w:p>
      <w:pPr>
        <w:pStyle w:val="Normal"/>
        <w:jc w:val="right"/>
        <w:rPr>
          <w:rStyle w:val="IturriaKar"/>
        </w:rPr>
      </w:pPr>
      <w:r>
        <w:rPr/>
      </w:r>
    </w:p>
    <w:p>
      <w:pPr>
        <w:pStyle w:val="Normal"/>
        <w:rPr/>
      </w:pPr>
      <w:r>
        <w:rPr/>
      </w:r>
    </w:p>
    <w:p>
      <w:pPr>
        <w:pStyle w:val="Normal"/>
        <w:rPr/>
      </w:pPr>
      <w:r>
        <w:rPr/>
      </w:r>
    </w:p>
    <w:p>
      <w:pPr>
        <w:pStyle w:val="Normal"/>
        <w:rPr/>
      </w:pPr>
      <w:r>
        <w:rPr/>
      </w:r>
    </w:p>
    <w:p>
      <w:pPr>
        <w:pStyle w:val="Normal"/>
        <w:rPr/>
      </w:pPr>
      <w:r>
        <w:rPr/>
      </w:r>
      <w:r>
        <w:br w:type="page"/>
      </w:r>
    </w:p>
    <w:p>
      <w:pPr>
        <w:pStyle w:val="Ttulo1"/>
        <w:rPr/>
      </w:pPr>
      <w:bookmarkStart w:id="341" w:name="_Toc191031061"/>
      <w:r>
        <w:rPr/>
        <w:t>Tentsio eremu izendapenaren justifikazioa</w:t>
      </w:r>
      <w:bookmarkEnd w:id="341"/>
    </w:p>
    <w:p>
      <w:pPr>
        <w:pStyle w:val="Normal"/>
        <w:jc w:val="both"/>
        <w:rPr/>
      </w:pPr>
      <w:r>
        <w:rPr/>
        <w:t xml:space="preserve">Maiatzaren 24ko 12/2023 Legeak </w:t>
      </w:r>
      <w:sdt>
        <w:sdtPr>
          <w:citation/>
        </w:sdtPr>
        <w:sdtContent>
          <w:r>
            <w:rPr/>
            <w:fldChar w:fldCharType="begin"/>
          </w:r>
          <w:r>
            <w:rPr/>
            <w:instrText xml:space="preserve">CITATION BOE23 \l 1069 </w:instrText>
          </w:r>
          <w:r>
            <w:rPr/>
            <w:fldChar w:fldCharType="separate"/>
          </w:r>
          <w:r>
            <w:rPr/>
            <w:t>(BOE, 2023)</w:t>
          </w:r>
          <w:r>
            <w:rPr/>
            <w:fldChar w:fldCharType="end"/>
          </w:r>
        </w:sdtContent>
      </w:sdt>
      <w:r>
        <w:rPr/>
        <w:t xml:space="preserve"> etxebizitza eskubidea bermatzea du helburu. Lege horren xedea etxebizitza eskubidea bermatzeko eta etxebizitza duin eta egokia eskuratzeko oinarrizko baldintzak arautzea da. Lege horren 18. artikuluak etxebizitza-merkatuko tentsio eremua izendatzeko eskumena ematen dio tokiko administrazioari irizpideak betetzen badira. </w:t>
      </w:r>
    </w:p>
    <w:p>
      <w:pPr>
        <w:pStyle w:val="Normal"/>
        <w:jc w:val="both"/>
        <w:rPr/>
      </w:pPr>
      <w:r>
        <w:rPr/>
        <w:t xml:space="preserve">Baldintzak ondorengoak dira: </w:t>
      </w:r>
    </w:p>
    <w:p>
      <w:pPr>
        <w:pStyle w:val="ListParagraph"/>
        <w:numPr>
          <w:ilvl w:val="0"/>
          <w:numId w:val="5"/>
        </w:numPr>
        <w:jc w:val="both"/>
        <w:rPr/>
      </w:pPr>
      <w:r>
        <w:rPr/>
        <w:t xml:space="preserve">Etxebizitza-merkatuko tentsio eremu izendatu aurreko bost urteetan etxebizitzaren erosketa-edo alokairu-prezioak izandako hazkunde metatuaren ehunekoa gutxienez ehuneko hiru puntu handiagoa izatea dagokion autonomia-erkidegoko kontsumo-prezioen indizearen hazkunde metatuaren ehunekoa baino. </w:t>
      </w:r>
    </w:p>
    <w:p>
      <w:pPr>
        <w:pStyle w:val="ListParagraph"/>
        <w:numPr>
          <w:ilvl w:val="0"/>
          <w:numId w:val="6"/>
        </w:numPr>
        <w:jc w:val="both"/>
        <w:rPr/>
      </w:pPr>
      <w:r>
        <w:rPr/>
        <w:t xml:space="preserve">Hipotekaren edo alokairuaren kostuak aurrekontu pertsonalean edo bizikidetza-unitatearen aurrekontuan duen batez besteko kargak, gehi oinarrizko gastu eta hornigaiek, familien batez besteko diru-sarreren edo batez besteko errentaren ehuneko hogeita hamar gainditzea. </w:t>
      </w:r>
    </w:p>
    <w:p>
      <w:pPr>
        <w:pStyle w:val="Normal"/>
        <w:jc w:val="both"/>
        <w:rPr/>
      </w:pPr>
      <w:r>
        <w:rPr/>
        <w:t xml:space="preserve">Horiek horrela, Etxebizitzaren Euskal Behatokiak 2024 otsailean aurkeztutako azterlanean </w:t>
      </w:r>
      <w:sdt>
        <w:sdtPr>
          <w:citation/>
        </w:sdtPr>
        <w:sdtContent>
          <w:r>
            <w:rPr/>
            <w:fldChar w:fldCharType="begin"/>
          </w:r>
          <w:r>
            <w:rPr/>
            <w:instrText xml:space="preserve"> CITATION Etx24 \l 1069 </w:instrText>
          </w:r>
          <w:r>
            <w:rPr/>
            <w:fldChar w:fldCharType="separate"/>
          </w:r>
          <w:r>
            <w:rPr/>
            <w:t>(Etxebizitzaren Euskal Behatokia, 2024)</w:t>
          </w:r>
          <w:r>
            <w:rPr/>
            <w:fldChar w:fldCharType="end"/>
          </w:r>
        </w:sdtContent>
      </w:sdt>
      <w:r>
        <w:rPr/>
        <w:t xml:space="preserve"> udalerriek tentsio eremu izendatzeko baldintzak betetzen dituzten aztertzen da bi irizpide zehaztuz. Bi irizpideetako bat betetzea nahikoa da udalerri bat tentsio eremu izendatu ahal izateko</w:t>
      </w:r>
      <w:r>
        <w:rPr/>
        <w:t>. Pasaiak bi irizpideetako bat betetzen du, eta beraz, tentsio eremu izendatzeko baldintzak betetzen dituela zehazten du txostenak. Gainera, udalerriko barruti guztietan gutxienez bi irizpideetako bat betetzen da, eta ondorioz, udalerria bere osotasunean izendatu daiteke tentsionatutako eremu.</w:t>
      </w:r>
    </w:p>
    <w:p>
      <w:pPr>
        <w:pStyle w:val="Normal"/>
        <w:jc w:val="both"/>
        <w:rPr/>
      </w:pPr>
      <w:r>
        <w:rPr/>
        <w:t xml:space="preserve">Jarraian, Etxebizitzaren Euskal Behatokiak zehaztutako metodologiaren baitan Pasaia tentsio eremu izendatzeko baldintzak betetzen dituen aztertzen da barruti bakoitzean bertan zehazten diren irizpideak baliatuz </w:t>
      </w:r>
      <w:sdt>
        <w:sdtPr>
          <w:citation/>
        </w:sdtPr>
        <w:sdtContent>
          <w:r>
            <w:rPr/>
            <w:fldChar w:fldCharType="begin"/>
          </w:r>
          <w:r>
            <w:rPr/>
            <w:instrText xml:space="preserve">CITATION Etx241 \l 1069 </w:instrText>
          </w:r>
          <w:r>
            <w:rPr/>
            <w:fldChar w:fldCharType="separate"/>
          </w:r>
          <w:r>
            <w:rPr/>
            <w:t>(Etxebizitzaren Euskal Behatokia, 2024)</w:t>
          </w:r>
          <w:r>
            <w:rPr/>
            <w:fldChar w:fldCharType="end"/>
          </w:r>
        </w:sdtContent>
      </w:sdt>
      <w:r>
        <w:rPr/>
        <w:t>.</w:t>
      </w:r>
    </w:p>
    <w:p>
      <w:pPr>
        <w:pStyle w:val="Ttulo2"/>
        <w:rPr/>
      </w:pPr>
      <w:bookmarkStart w:id="342" w:name="_Toc191031062"/>
      <w:r>
        <w:rPr/>
        <w:t>Lehen Irizpidea: alokairu-errentaren igoera</w:t>
      </w:r>
      <w:bookmarkEnd w:id="342"/>
    </w:p>
    <w:p>
      <w:pPr>
        <w:pStyle w:val="Normal"/>
        <w:jc w:val="both"/>
        <w:rPr/>
      </w:pPr>
      <w:r>
        <w:rPr/>
        <w:t xml:space="preserve">Lehen irizpideak zehazten du udalerri bat tentsio eremu izendatzeko alokairu-errentaren azken bost urteetako igoerak autonomia-erkidegoko kontsumo-prezioen indizearen (KPI) hazkunde metatuaren ehunekoa hiru puntutan gainditu behar duela. Aipatu behar da, Etxebizitzaren Euskal Behatokiak udalerriak tentsio eremu izateko baldintzak betetzen zituzten aztertzeko egin zuen azterlanean 2017-2022 epealdia baliatu zuela </w:t>
      </w:r>
      <w:sdt>
        <w:sdtPr>
          <w:citation/>
        </w:sdtPr>
        <w:sdtContent>
          <w:r>
            <w:rPr/>
            <w:fldChar w:fldCharType="begin"/>
          </w:r>
          <w:r>
            <w:rPr/>
            <w:instrText xml:space="preserve">CITATION Etx23 \l 1069 </w:instrText>
          </w:r>
          <w:r>
            <w:rPr/>
            <w:fldChar w:fldCharType="separate"/>
          </w:r>
          <w:r>
            <w:rPr/>
            <w:t>(Etxebizitzaren Euskal Behatokia, 2023)</w:t>
          </w:r>
          <w:r>
            <w:rPr/>
            <w:fldChar w:fldCharType="end"/>
          </w:r>
        </w:sdtContent>
      </w:sdt>
      <w:r>
        <w:rPr/>
        <w:t xml:space="preserve">. </w:t>
      </w:r>
    </w:p>
    <w:p>
      <w:pPr>
        <w:pStyle w:val="Normal"/>
        <w:jc w:val="both"/>
        <w:rPr/>
      </w:pPr>
      <w:r>
        <w:rPr/>
        <w:t xml:space="preserve">Azterketa horretan Pasaiako barrutiek udalerria tentsio eremu izateko lehen irizpidea ez dute betetzen. </w:t>
      </w:r>
      <w:bookmarkStart w:id="343" w:name="_Hlk190865254"/>
      <w:r>
        <w:rPr/>
        <w:t xml:space="preserve">Antxoren (%16,4), Trintxerperen (%13,9) eta San Pedroren (%12,2) </w:t>
      </w:r>
      <w:bookmarkEnd w:id="343"/>
      <w:r>
        <w:rPr/>
        <w:t xml:space="preserve">2017-2022 epealdiko alokairu-errentaren igoerek ez dute KPIren igoera (%14,0) hiru puntu baino gehiagotan gainditu. Ez dago nahikoa datu Donibaneko alokairu-errentaren hazkundea aztertzeko. Edonola ere, 2023ko alokairu prezioaren igoera aintzat hartuko balitz,  Antxok eta Trintxerpek 2017-2023 aldian izandako hazkundeak KPIaren hazkundea hiru puntu baino gehiagotan gaindituko luke. Ez da San Pedroren kasua (ikus </w:t>
      </w:r>
      <w:r>
        <w:rPr/>
        <w:fldChar w:fldCharType="begin"/>
      </w:r>
      <w:r>
        <w:rPr/>
        <w:instrText xml:space="preserve"> REF _Ref176949934 \h </w:instrText>
      </w:r>
      <w:r>
        <w:rPr/>
        <w:fldChar w:fldCharType="separate"/>
      </w:r>
      <w:r>
        <w:rPr/>
        <w:t>68. Grafikoa</w:t>
      </w:r>
      <w:r>
        <w:rPr/>
        <w:fldChar w:fldCharType="end"/>
      </w:r>
      <w:r>
        <w:rPr/>
        <w:t xml:space="preserve">, </w:t>
      </w:r>
      <w:r>
        <w:rPr/>
        <w:fldChar w:fldCharType="begin"/>
      </w:r>
      <w:r>
        <w:rPr/>
        <w:instrText xml:space="preserve"> REF _Ref176949911 \h </w:instrText>
      </w:r>
      <w:r>
        <w:rPr/>
        <w:fldChar w:fldCharType="separate"/>
      </w:r>
      <w:r>
        <w:rPr/>
        <w:t>44. Taula</w:t>
      </w:r>
      <w:r>
        <w:rPr/>
        <w:fldChar w:fldCharType="end"/>
      </w:r>
      <w:r>
        <w:rPr/>
        <w:t xml:space="preserve"> eta </w:t>
      </w:r>
      <w:r>
        <w:rPr/>
        <w:fldChar w:fldCharType="begin"/>
      </w:r>
      <w:r>
        <w:rPr/>
        <w:instrText xml:space="preserve"> REF _Ref176949917 \h </w:instrText>
      </w:r>
      <w:r>
        <w:rPr/>
        <w:fldChar w:fldCharType="separate"/>
      </w:r>
      <w:r>
        <w:rPr/>
        <w:t>45. Taula</w:t>
      </w:r>
      <w:r>
        <w:rPr/>
        <w:fldChar w:fldCharType="end"/>
      </w:r>
      <w:r>
        <w:rPr/>
        <w:t xml:space="preserve">). </w:t>
      </w:r>
    </w:p>
    <w:p>
      <w:pPr>
        <w:pStyle w:val="Normal"/>
        <w:jc w:val="both"/>
        <w:rPr/>
      </w:pPr>
      <w:r>
        <w:rPr/>
        <w:t>Nolanahi ere, kontuan hartzekoa da, alokairu errenta apaltzen duen aldagai nagusia etxebizitzaren tamaina, antzinatasuna eta konfort maila apala direla (San Pedro eta Donibaneko etxebizitza askoren ezaugarria) eta alokairu horien erabiltzaileak direla, hain zuzen, ahalmen ekonomiko txikiena eta bizitegi egoera kaskarrena bizi  dutenak.</w:t>
      </w:r>
    </w:p>
    <w:p>
      <w:pPr>
        <w:pStyle w:val="Normal"/>
        <w:rPr/>
      </w:pPr>
      <w:r>
        <w:rPr/>
      </w:r>
    </w:p>
    <w:p>
      <w:pPr>
        <w:pStyle w:val="Caption"/>
        <w:rPr/>
      </w:pPr>
      <w:bookmarkStart w:id="344" w:name="_Toc191031187"/>
      <w:bookmarkStart w:id="345" w:name="_Ref176949911"/>
      <w:r>
        <w:rPr/>
        <w:fldChar w:fldCharType="begin"/>
      </w:r>
      <w:r>
        <w:rPr/>
        <w:instrText xml:space="preserve"> SEQ Taula \* ARABIC </w:instrText>
      </w:r>
      <w:r>
        <w:rPr/>
        <w:fldChar w:fldCharType="separate"/>
      </w:r>
      <w:r>
        <w:rPr/>
        <w:t>44</w:t>
      </w:r>
      <w:r>
        <w:rPr/>
        <w:fldChar w:fldCharType="end"/>
      </w:r>
      <w:r>
        <w:rPr/>
        <w:t>. Taula</w:t>
      </w:r>
      <w:bookmarkEnd w:id="345"/>
      <w:r>
        <w:rPr/>
        <w:t>: Alokairu libreko alokairu-errentaren bilakaera eta hazkundea.</w:t>
        <w:br/>
        <w:t>Pasaia eta bere barrutiak, 2017-2023</w:t>
      </w:r>
      <w:bookmarkEnd w:id="344"/>
    </w:p>
    <w:tbl>
      <w:tblPr>
        <w:tblW w:w="883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90"/>
        <w:gridCol w:w="1082"/>
        <w:gridCol w:w="896"/>
        <w:gridCol w:w="895"/>
        <w:gridCol w:w="894"/>
        <w:gridCol w:w="896"/>
        <w:gridCol w:w="895"/>
        <w:gridCol w:w="894"/>
        <w:gridCol w:w="895"/>
      </w:tblGrid>
      <w:tr>
        <w:trPr>
          <w:trHeight w:val="300" w:hRule="atLeast"/>
        </w:trPr>
        <w:tc>
          <w:tcPr>
            <w:tcW w:w="149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Adierazlea</w:t>
            </w:r>
          </w:p>
        </w:tc>
        <w:tc>
          <w:tcPr>
            <w:tcW w:w="1082"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89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89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89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896"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895"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894"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895"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490"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val="es-ES" w:eastAsia="eu-ES"/>
                <w14:ligatures w14:val="none"/>
              </w:rPr>
              <w:t>Alokairu errenta (€)</w:t>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623,8</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662,3</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673,5</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690,3</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682,9</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725,8</w:t>
            </w:r>
          </w:p>
        </w:tc>
        <w:tc>
          <w:tcPr>
            <w:tcW w:w="895"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760,8</w:t>
            </w:r>
          </w:p>
        </w:tc>
      </w:tr>
      <w:tr>
        <w:trPr>
          <w:trHeight w:val="300" w:hRule="atLeast"/>
        </w:trPr>
        <w:tc>
          <w:tcPr>
            <w:tcW w:w="1490"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630,0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691,3</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692,1</w:t>
            </w:r>
          </w:p>
        </w:tc>
        <w:tc>
          <w:tcPr>
            <w:tcW w:w="895" w:type="dxa"/>
            <w:tcBorders>
              <w:bottom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r>
      <w:tr>
        <w:trPr>
          <w:trHeight w:val="300" w:hRule="atLeast"/>
        </w:trPr>
        <w:tc>
          <w:tcPr>
            <w:tcW w:w="1490"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655,6</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668,9</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665,6</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659,0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707,4</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735,7</w:t>
            </w:r>
          </w:p>
        </w:tc>
        <w:tc>
          <w:tcPr>
            <w:tcW w:w="895"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745,4</w:t>
            </w:r>
          </w:p>
        </w:tc>
      </w:tr>
      <w:tr>
        <w:trPr>
          <w:trHeight w:val="300" w:hRule="atLeast"/>
        </w:trPr>
        <w:tc>
          <w:tcPr>
            <w:tcW w:w="1490"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647,0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657,2</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696,1</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702,0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711,9</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737,1</w:t>
            </w:r>
          </w:p>
        </w:tc>
        <w:tc>
          <w:tcPr>
            <w:tcW w:w="895"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788,0</w:t>
            </w:r>
          </w:p>
        </w:tc>
      </w:tr>
      <w:tr>
        <w:trPr>
          <w:trHeight w:val="300" w:hRule="atLeast"/>
        </w:trPr>
        <w:tc>
          <w:tcPr>
            <w:tcW w:w="1490" w:type="dxa"/>
            <w:vMerge w:val="restart"/>
            <w:tcBorders>
              <w:top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Hazkundea (%)</w:t>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6,2</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8,0</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10,7</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9,5</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16,4</w:t>
            </w:r>
          </w:p>
        </w:tc>
        <w:tc>
          <w:tcPr>
            <w:tcW w:w="895"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22,0</w:t>
            </w:r>
          </w:p>
        </w:tc>
      </w:tr>
      <w:tr>
        <w:trPr>
          <w:trHeight w:val="300" w:hRule="atLeast"/>
        </w:trPr>
        <w:tc>
          <w:tcPr>
            <w:tcW w:w="1490"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c>
          <w:tcPr>
            <w:tcW w:w="895" w:type="dxa"/>
            <w:tcBorders>
              <w:bottom w:val="single" w:sz="4" w:space="0" w:color="000000"/>
            </w:tcBorders>
            <w:shd w:color="auto" w:fill="auto" w:val="clear"/>
            <w:vAlign w:val="bottom"/>
          </w:tcPr>
          <w:p>
            <w:pPr>
              <w:pStyle w:val="Normal"/>
              <w:widowControl w:val="false"/>
              <w:spacing w:lineRule="auto" w:line="240" w:before="0" w:after="0"/>
              <w:jc w:val="center"/>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w:t>
            </w:r>
          </w:p>
        </w:tc>
      </w:tr>
      <w:tr>
        <w:trPr>
          <w:trHeight w:val="300" w:hRule="atLeast"/>
        </w:trPr>
        <w:tc>
          <w:tcPr>
            <w:tcW w:w="1490"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0,0</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2,0</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w:t>
            </w:r>
          </w:p>
        </w:tc>
        <w:tc>
          <w:tcPr>
            <w:tcW w:w="896"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0,5</w:t>
            </w:r>
          </w:p>
        </w:tc>
        <w:tc>
          <w:tcPr>
            <w:tcW w:w="895"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7,9</w:t>
            </w:r>
          </w:p>
        </w:tc>
        <w:tc>
          <w:tcPr>
            <w:tcW w:w="894"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12,2</w:t>
            </w:r>
          </w:p>
        </w:tc>
        <w:tc>
          <w:tcPr>
            <w:tcW w:w="895"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13,7</w:t>
            </w:r>
          </w:p>
        </w:tc>
      </w:tr>
      <w:tr>
        <w:trPr>
          <w:trHeight w:val="300" w:hRule="atLeast"/>
        </w:trPr>
        <w:tc>
          <w:tcPr>
            <w:tcW w:w="1490" w:type="dxa"/>
            <w:vMerge w:val="continue"/>
            <w:tcBorders>
              <w:top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r>
          </w:p>
        </w:tc>
        <w:tc>
          <w:tcPr>
            <w:tcW w:w="1082"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 xml:space="preserve">Trintxerpe </w:t>
            </w:r>
          </w:p>
        </w:tc>
        <w:tc>
          <w:tcPr>
            <w:tcW w:w="89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0,0</w:t>
            </w:r>
          </w:p>
        </w:tc>
        <w:tc>
          <w:tcPr>
            <w:tcW w:w="89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w:t>
            </w:r>
          </w:p>
        </w:tc>
        <w:tc>
          <w:tcPr>
            <w:tcW w:w="89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w:t>
            </w:r>
          </w:p>
        </w:tc>
        <w:tc>
          <w:tcPr>
            <w:tcW w:w="896"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8,5</w:t>
            </w:r>
          </w:p>
        </w:tc>
        <w:tc>
          <w:tcPr>
            <w:tcW w:w="895"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w:t>
            </w:r>
          </w:p>
        </w:tc>
        <w:tc>
          <w:tcPr>
            <w:tcW w:w="894"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13,9</w:t>
            </w:r>
          </w:p>
        </w:tc>
        <w:tc>
          <w:tcPr>
            <w:tcW w:w="895"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21,8</w:t>
            </w:r>
          </w:p>
        </w:tc>
      </w:tr>
    </w:tbl>
    <w:p>
      <w:pPr>
        <w:pStyle w:val="Iturria"/>
        <w:tabs>
          <w:tab w:val="clear" w:pos="708"/>
          <w:tab w:val="left" w:pos="4920" w:leader="none"/>
          <w:tab w:val="right" w:pos="8504" w:leader="none"/>
        </w:tabs>
        <w:rPr/>
      </w:pPr>
      <w:r>
        <w:rPr>
          <w:rStyle w:val="IturriaKar"/>
        </w:rPr>
        <w:tab/>
        <w:t>Iturria: Eusko Jaurlaritzaren fidantza gordailua.</w:t>
      </w:r>
    </w:p>
    <w:p>
      <w:pPr>
        <w:pStyle w:val="Normal"/>
        <w:rPr/>
      </w:pPr>
      <w:r>
        <w:rPr/>
      </w:r>
    </w:p>
    <w:p>
      <w:pPr>
        <w:pStyle w:val="Caption"/>
        <w:rPr>
          <w:rStyle w:val="IturriaKar"/>
        </w:rPr>
      </w:pPr>
      <w:bookmarkStart w:id="346" w:name="_Toc191031188"/>
      <w:bookmarkStart w:id="347" w:name="_Ref176949917"/>
      <w:r>
        <w:rPr/>
        <w:fldChar w:fldCharType="begin"/>
      </w:r>
      <w:r>
        <w:rPr/>
        <w:instrText xml:space="preserve"> SEQ Taula \* ARABIC </w:instrText>
      </w:r>
      <w:r>
        <w:rPr/>
        <w:fldChar w:fldCharType="separate"/>
      </w:r>
      <w:r>
        <w:rPr/>
        <w:t>45</w:t>
      </w:r>
      <w:r>
        <w:rPr/>
        <w:fldChar w:fldCharType="end"/>
      </w:r>
      <w:r>
        <w:rPr/>
        <w:t>. Taula</w:t>
      </w:r>
      <w:bookmarkEnd w:id="347"/>
      <w:r>
        <w:rPr/>
        <w:t>: Kontsumoko Prezioen Indize (KPI) orokorraren bilakaera eta hazkundea</w:t>
      </w:r>
      <w:r>
        <w:rPr>
          <w:rStyle w:val="Ancladenotaalpie"/>
        </w:rPr>
        <w:footnoteReference w:id="16"/>
      </w:r>
      <w:r>
        <w:rPr/>
        <w:t>.</w:t>
        <w:br/>
        <w:t>EAE, 2017-2023</w:t>
      </w:r>
      <w:bookmarkEnd w:id="346"/>
      <w:r>
        <w:rPr>
          <w:rStyle w:val="IturriaKar"/>
        </w:rPr>
        <w:tab/>
      </w:r>
    </w:p>
    <w:tbl>
      <w:tblPr>
        <w:tblW w:w="820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80"/>
        <w:gridCol w:w="960"/>
        <w:gridCol w:w="959"/>
        <w:gridCol w:w="960"/>
        <w:gridCol w:w="961"/>
        <w:gridCol w:w="960"/>
        <w:gridCol w:w="959"/>
        <w:gridCol w:w="960"/>
      </w:tblGrid>
      <w:tr>
        <w:trPr>
          <w:trHeight w:val="300" w:hRule="atLeast"/>
        </w:trPr>
        <w:tc>
          <w:tcPr>
            <w:tcW w:w="148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Adierazlea</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2017</w:t>
            </w:r>
          </w:p>
        </w:tc>
        <w:tc>
          <w:tcPr>
            <w:tcW w:w="959"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2018</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2019</w:t>
            </w:r>
          </w:p>
        </w:tc>
        <w:tc>
          <w:tcPr>
            <w:tcW w:w="961"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2020</w:t>
            </w:r>
          </w:p>
        </w:tc>
        <w:tc>
          <w:tcPr>
            <w:tcW w:w="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2021</w:t>
            </w:r>
          </w:p>
        </w:tc>
        <w:tc>
          <w:tcPr>
            <w:tcW w:w="959"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2022</w:t>
            </w:r>
          </w:p>
        </w:tc>
        <w:tc>
          <w:tcPr>
            <w:tcW w:w="960" w:type="dxa"/>
            <w:tcBorders>
              <w:top w:val="single" w:sz="4" w:space="0" w:color="000000"/>
              <w:lef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2023</w:t>
            </w:r>
          </w:p>
        </w:tc>
      </w:tr>
      <w:tr>
        <w:trPr>
          <w:trHeight w:val="300" w:hRule="atLeast"/>
        </w:trPr>
        <w:tc>
          <w:tcPr>
            <w:tcW w:w="1480"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KPI</w:t>
            </w:r>
          </w:p>
        </w:tc>
        <w:tc>
          <w:tcPr>
            <w:tcW w:w="960"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94,7</w:t>
            </w:r>
          </w:p>
        </w:tc>
        <w:tc>
          <w:tcPr>
            <w:tcW w:w="959"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96,2</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97,1</w:t>
            </w:r>
          </w:p>
        </w:tc>
        <w:tc>
          <w:tcPr>
            <w:tcW w:w="96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97,0</w:t>
            </w:r>
          </w:p>
        </w:tc>
        <w:tc>
          <w:tcPr>
            <w:tcW w:w="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100,0</w:t>
            </w:r>
          </w:p>
        </w:tc>
        <w:tc>
          <w:tcPr>
            <w:tcW w:w="959"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108,0</w:t>
            </w:r>
          </w:p>
        </w:tc>
        <w:tc>
          <w:tcPr>
            <w:tcW w:w="960" w:type="dxa"/>
            <w:tcBorders>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112,0</w:t>
            </w:r>
          </w:p>
        </w:tc>
      </w:tr>
      <w:tr>
        <w:trPr>
          <w:trHeight w:val="300" w:hRule="atLeast"/>
        </w:trPr>
        <w:tc>
          <w:tcPr>
            <w:tcW w:w="1480" w:type="dxa"/>
            <w:tcBorders>
              <w:top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Hazkundea (%)</w:t>
            </w:r>
          </w:p>
        </w:tc>
        <w:tc>
          <w:tcPr>
            <w:tcW w:w="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0,0</w:t>
            </w:r>
          </w:p>
        </w:tc>
        <w:tc>
          <w:tcPr>
            <w:tcW w:w="959" w:type="dxa"/>
            <w:tcBorders>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1,6</w:t>
            </w:r>
          </w:p>
        </w:tc>
        <w:tc>
          <w:tcPr>
            <w:tcW w:w="960" w:type="dxa"/>
            <w:tcBorders>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2,6</w:t>
            </w:r>
          </w:p>
        </w:tc>
        <w:tc>
          <w:tcPr>
            <w:tcW w:w="961" w:type="dxa"/>
            <w:tcBorders>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2,4</w:t>
            </w:r>
          </w:p>
        </w:tc>
        <w:tc>
          <w:tcPr>
            <w:tcW w:w="960" w:type="dxa"/>
            <w:tcBorders>
              <w:left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5,6</w:t>
            </w:r>
          </w:p>
        </w:tc>
        <w:tc>
          <w:tcPr>
            <w:tcW w:w="959" w:type="dxa"/>
            <w:tcBorders>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14,0</w:t>
            </w:r>
          </w:p>
        </w:tc>
        <w:tc>
          <w:tcPr>
            <w:tcW w:w="960" w:type="dxa"/>
            <w:tcBorders>
              <w:top w:val="single" w:sz="4" w:space="0" w:color="000000"/>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18,2</w:t>
            </w:r>
          </w:p>
        </w:tc>
      </w:tr>
    </w:tbl>
    <w:p>
      <w:pPr>
        <w:pStyle w:val="Iturria"/>
        <w:tabs>
          <w:tab w:val="clear" w:pos="708"/>
          <w:tab w:val="left" w:pos="6495" w:leader="none"/>
          <w:tab w:val="right" w:pos="8504" w:leader="none"/>
        </w:tabs>
        <w:rPr>
          <w:rStyle w:val="IturriaKar"/>
        </w:rPr>
      </w:pPr>
      <w:r>
        <w:rPr>
          <w:rStyle w:val="IturriaKar"/>
        </w:rPr>
        <w:tab/>
        <w:t>Iturria: Eustat.</w:t>
      </w:r>
    </w:p>
    <w:p>
      <w:pPr>
        <w:pStyle w:val="Iturria"/>
        <w:tabs>
          <w:tab w:val="clear" w:pos="708"/>
          <w:tab w:val="left" w:pos="6495" w:leader="none"/>
          <w:tab w:val="right" w:pos="8504" w:leader="none"/>
        </w:tabs>
        <w:rPr/>
      </w:pPr>
      <w:r>
        <w:rPr/>
      </w:r>
    </w:p>
    <w:p>
      <w:pPr>
        <w:pStyle w:val="Iturria"/>
        <w:tabs>
          <w:tab w:val="clear" w:pos="708"/>
          <w:tab w:val="left" w:pos="6495" w:leader="none"/>
          <w:tab w:val="right" w:pos="8504" w:leader="none"/>
        </w:tabs>
        <w:rPr/>
      </w:pPr>
      <w:r>
        <w:rPr/>
      </w:r>
    </w:p>
    <w:p>
      <w:pPr>
        <w:pStyle w:val="Normal"/>
        <w:rPr>
          <w:color w:val="595959" w:themeColor="text1" w:themeTint="a6"/>
          <w:sz w:val="18"/>
          <w:szCs w:val="18"/>
        </w:rPr>
      </w:pPr>
      <w:r>
        <w:rPr>
          <w:color w:val="595959" w:themeColor="text1" w:themeTint="a6"/>
          <w:sz w:val="18"/>
          <w:szCs w:val="18"/>
        </w:rPr>
      </w:r>
      <w:r>
        <w:br w:type="page"/>
      </w:r>
    </w:p>
    <w:p>
      <w:pPr>
        <w:pStyle w:val="Caption"/>
        <w:rPr/>
      </w:pPr>
      <w:bookmarkStart w:id="348" w:name="_Toc191031142"/>
      <w:bookmarkStart w:id="349" w:name="_Ref176949934"/>
      <w:r>
        <w:rPr/>
        <w:fldChar w:fldCharType="begin"/>
      </w:r>
      <w:r>
        <w:rPr/>
        <w:instrText xml:space="preserve"> SEQ Grafikoa \* ARABIC </w:instrText>
      </w:r>
      <w:r>
        <w:rPr/>
        <w:fldChar w:fldCharType="separate"/>
      </w:r>
      <w:r>
        <w:rPr/>
        <w:t>68</w:t>
      </w:r>
      <w:r>
        <w:rPr/>
        <w:fldChar w:fldCharType="end"/>
      </w:r>
      <w:r>
        <w:rPr/>
        <w:t>. Grafikoa</w:t>
      </w:r>
      <w:bookmarkEnd w:id="349"/>
      <w:r>
        <w:rPr/>
        <w:t>: Tentsio eremu izendatzeko 1. Irizpideko adierazleen hazkundea (%).</w:t>
        <w:br/>
        <w:t>Pasaia eta bere barrutiak, 2017-2023</w:t>
      </w:r>
      <w:bookmarkEnd w:id="348"/>
    </w:p>
    <w:p>
      <w:pPr>
        <w:pStyle w:val="Iturria"/>
        <w:rPr>
          <w:rStyle w:val="IturriaKar"/>
        </w:rPr>
      </w:pPr>
      <w:r>
        <w:rPr/>
        <w:drawing>
          <wp:inline distT="0" distB="0" distL="0" distR="0">
            <wp:extent cx="5391150" cy="3200400"/>
            <wp:effectExtent l="0" t="0" r="0" b="0"/>
            <wp:docPr id="77" name="Imagen63" descr="Hau duen irudia Lurrazala, lerroa, diagrama, pantaila-argazkia&#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63" descr="Hau duen irudia Lurrazala, lerroa, diagrama, pantaila-argazkia&#10;&#10;Baliteke AAk sortutako edukia zuzena ez izatea."/>
                    <pic:cNvPicPr>
                      <a:picLocks noChangeAspect="1" noChangeArrowheads="1"/>
                    </pic:cNvPicPr>
                  </pic:nvPicPr>
                  <pic:blipFill>
                    <a:blip r:embed="rId78"/>
                    <a:stretch>
                      <a:fillRect/>
                    </a:stretch>
                  </pic:blipFill>
                  <pic:spPr bwMode="auto">
                    <a:xfrm>
                      <a:off x="0" y="0"/>
                      <a:ext cx="5391150" cy="3200400"/>
                    </a:xfrm>
                    <a:prstGeom prst="rect">
                      <a:avLst/>
                    </a:prstGeom>
                  </pic:spPr>
                </pic:pic>
              </a:graphicData>
            </a:graphic>
          </wp:inline>
        </w:drawing>
      </w:r>
      <w:r>
        <w:rPr>
          <w:rStyle w:val="2izenburuaKar"/>
        </w:rPr>
        <w:t xml:space="preserve"> </w:t>
      </w:r>
      <w:r>
        <w:rPr>
          <w:rStyle w:val="IturriaKar"/>
        </w:rPr>
        <w:t>Iturria: Eusko Jaurlaritzaren fidantza gordailua eta Eustat.</w:t>
      </w:r>
      <w:r>
        <w:br w:type="page"/>
      </w:r>
    </w:p>
    <w:p>
      <w:pPr>
        <w:pStyle w:val="Ttulo2"/>
        <w:rPr/>
      </w:pPr>
      <w:r>
        <w:rPr/>
        <w:t xml:space="preserve"> </w:t>
      </w:r>
      <w:bookmarkStart w:id="350" w:name="_Toc191031063"/>
      <w:r>
        <w:rPr/>
        <w:t>Bigarren irizpidea: etxebizitza ordaintzeko ahalegin ekonomikoa</w:t>
      </w:r>
      <w:bookmarkEnd w:id="350"/>
    </w:p>
    <w:p>
      <w:pPr>
        <w:pStyle w:val="Normal"/>
        <w:jc w:val="both"/>
        <w:rPr/>
      </w:pPr>
      <w:r>
        <w:rPr/>
        <w:t xml:space="preserve">Bigarren irizpideak zehazten du familien batez besteko diru sarreren ehuneko hogeita hamarra baino gehiago hipotekaren edo alokairuaren eta etxebizitzaren oinarrizko gastuak ordaintzera bideratzen duten udalerriak tentsio eremu izendatzeko baldintza betetzen dutela. Eustatek eskaintzen dituen familia-errenten datu berrienak 2021 urtekoak dira eta Etxebizitzaren Euskal Behatokiak bere metodologian zehazten du familia-errenta eskuragarria baliatu behar dela baldintzen azterketa egiteko. Gainera, koherentzia metodologikoa mantentzeko 2021 urteko alokairu-errenta eta hornidura gastuak baliatzen dira </w:t>
      </w:r>
      <w:sdt>
        <w:sdtPr>
          <w:citation/>
        </w:sdtPr>
        <w:sdtContent>
          <w:r>
            <w:rPr/>
            <w:fldChar w:fldCharType="begin"/>
          </w:r>
          <w:r>
            <w:rPr/>
            <w:instrText xml:space="preserve">CITATION Etx23 \l 1069 </w:instrText>
          </w:r>
          <w:r>
            <w:rPr/>
            <w:fldChar w:fldCharType="separate"/>
          </w:r>
          <w:r>
            <w:rPr/>
            <w:t>(Etxebizitzaren Euskal Behatokia, 2023)</w:t>
          </w:r>
          <w:r>
            <w:rPr/>
            <w:fldChar w:fldCharType="end"/>
          </w:r>
        </w:sdtContent>
      </w:sdt>
      <w:r>
        <w:rPr/>
        <w:t>.</w:t>
      </w:r>
    </w:p>
    <w:p>
      <w:pPr>
        <w:pStyle w:val="Normal"/>
        <w:jc w:val="both"/>
        <w:rPr/>
      </w:pPr>
      <w:r>
        <w:rPr/>
        <w:t xml:space="preserve">2021ean Pasaiako alokairu-errentaren batez besteko prezioa </w:t>
      </w:r>
      <w:bookmarkStart w:id="351" w:name="_Hlk190865399"/>
      <w:r>
        <w:rPr/>
        <w:t>699,5</w:t>
      </w:r>
      <w:bookmarkEnd w:id="351"/>
      <w:r>
        <w:rPr/>
        <w:t xml:space="preserve">€ izan zen, urteko </w:t>
      </w:r>
      <w:bookmarkStart w:id="352" w:name="_Hlk190865414"/>
      <w:r>
        <w:rPr/>
        <w:t>8.394</w:t>
      </w:r>
      <w:bookmarkEnd w:id="352"/>
      <w:r>
        <w:rPr/>
        <w:t xml:space="preserve">€ko gastua, alegia. Barrutien arabera, Bestalde, urte berean etxebizitza baten oinarrizko hornidura gastuek hilabetean 259,2€ko kostua izan zuten, 3.110,3€ urtean (ikus </w:t>
      </w:r>
      <w:r>
        <w:rPr/>
        <w:fldChar w:fldCharType="begin"/>
      </w:r>
      <w:r>
        <w:rPr/>
        <w:instrText xml:space="preserve"> REF _Ref176949952 \h </w:instrText>
      </w:r>
      <w:r>
        <w:rPr/>
        <w:fldChar w:fldCharType="separate"/>
      </w:r>
      <w:r>
        <w:rPr/>
        <w:t>46. Taula</w:t>
      </w:r>
      <w:r>
        <w:rPr/>
        <w:fldChar w:fldCharType="end"/>
      </w:r>
      <w:r>
        <w:rPr/>
        <w:t xml:space="preserve"> eta </w:t>
      </w:r>
      <w:r>
        <w:rPr/>
        <w:fldChar w:fldCharType="begin"/>
      </w:r>
      <w:r>
        <w:rPr/>
        <w:instrText xml:space="preserve"> REF _Ref176949958 \h </w:instrText>
      </w:r>
      <w:r>
        <w:rPr/>
        <w:fldChar w:fldCharType="separate"/>
      </w:r>
      <w:r>
        <w:rPr/>
        <w:t>47. Taula</w:t>
      </w:r>
      <w:r>
        <w:rPr/>
        <w:fldChar w:fldCharType="end"/>
      </w:r>
      <w:r>
        <w:rPr/>
        <w:t xml:space="preserve">). </w:t>
      </w:r>
    </w:p>
    <w:p>
      <w:pPr>
        <w:pStyle w:val="Normal"/>
        <w:rPr/>
      </w:pPr>
      <w:r>
        <w:rPr/>
      </w:r>
    </w:p>
    <w:p>
      <w:pPr>
        <w:pStyle w:val="Normal"/>
        <w:rPr/>
      </w:pPr>
      <w:r>
        <w:rPr/>
      </w:r>
    </w:p>
    <w:p>
      <w:pPr>
        <w:pStyle w:val="Caption"/>
        <w:rPr/>
      </w:pPr>
      <w:bookmarkStart w:id="353" w:name="_Toc191031189"/>
      <w:bookmarkStart w:id="354" w:name="_Ref176949952"/>
      <w:r>
        <w:rPr/>
        <w:fldChar w:fldCharType="begin"/>
      </w:r>
      <w:r>
        <w:rPr/>
        <w:instrText xml:space="preserve"> SEQ Taula \* ARABIC </w:instrText>
      </w:r>
      <w:r>
        <w:rPr/>
        <w:fldChar w:fldCharType="separate"/>
      </w:r>
      <w:r>
        <w:rPr/>
        <w:t>46</w:t>
      </w:r>
      <w:r>
        <w:rPr/>
        <w:fldChar w:fldCharType="end"/>
      </w:r>
      <w:r>
        <w:rPr/>
        <w:t>. Taula</w:t>
      </w:r>
      <w:bookmarkEnd w:id="354"/>
      <w:r>
        <w:rPr/>
        <w:t>: Oinarrizko hornigaien gastua motaren arabera.</w:t>
        <w:br/>
        <w:t>EAE, 2021</w:t>
      </w:r>
      <w:bookmarkEnd w:id="353"/>
    </w:p>
    <w:tbl>
      <w:tblPr>
        <w:tblW w:w="6663"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4546"/>
        <w:gridCol w:w="2116"/>
      </w:tblGrid>
      <w:tr>
        <w:trPr>
          <w:trHeight w:val="300" w:hRule="atLeast"/>
        </w:trPr>
        <w:tc>
          <w:tcPr>
            <w:tcW w:w="4546" w:type="dxa"/>
            <w:tcBorders>
              <w:left w:val="single" w:sz="4" w:space="0" w:color="246873"/>
              <w:bottom w:val="single" w:sz="4" w:space="0" w:color="000000"/>
              <w:right w:val="single" w:sz="4" w:space="0" w:color="000000"/>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Mota</w:t>
            </w:r>
          </w:p>
        </w:tc>
        <w:tc>
          <w:tcPr>
            <w:tcW w:w="2116" w:type="dxa"/>
            <w:tcBorders>
              <w:left w:val="single" w:sz="4" w:space="0" w:color="000000"/>
              <w:bottom w:val="single" w:sz="4" w:space="0" w:color="000000"/>
              <w:right w:val="single" w:sz="4" w:space="0" w:color="246873"/>
            </w:tcBorders>
            <w:shd w:color="auto" w:fill="000000" w:themeFill="text1"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Hornigaien gastua (€)</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Ur-hornidura</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150,1</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Zabor bilketa</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110,3</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Saneamendu-zerbitzua</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90,5</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Etxebizitzarekin lotutako bestelako zerbitzuak b.i.s.g.</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768,9</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Elektrizitatea</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686,4</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Gasa</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390,5</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Erregai likidoak</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37,5</w:t>
            </w:r>
          </w:p>
        </w:tc>
      </w:tr>
      <w:tr>
        <w:trPr>
          <w:trHeight w:val="300" w:hRule="atLeast"/>
        </w:trPr>
        <w:tc>
          <w:tcPr>
            <w:tcW w:w="454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Posta, telefonia eta fax zerbitzuak</w:t>
            </w:r>
          </w:p>
        </w:tc>
        <w:tc>
          <w:tcPr>
            <w:tcW w:w="2116" w:type="dxa"/>
            <w:tcBorders>
              <w:top w:val="single" w:sz="4" w:space="0" w:color="000000"/>
              <w:left w:val="single" w:sz="4" w:space="0" w:color="000000"/>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876,1</w:t>
            </w:r>
          </w:p>
        </w:tc>
      </w:tr>
      <w:tr>
        <w:trPr>
          <w:trHeight w:val="300" w:hRule="atLeast"/>
        </w:trPr>
        <w:tc>
          <w:tcPr>
            <w:tcW w:w="4546" w:type="dxa"/>
            <w:tcBorders>
              <w:top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Orotara</w:t>
            </w:r>
          </w:p>
        </w:tc>
        <w:tc>
          <w:tcPr>
            <w:tcW w:w="2116" w:type="dxa"/>
            <w:tcBorders>
              <w:top w:val="single" w:sz="4" w:space="0" w:color="000000"/>
              <w:lef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3.110,3</w:t>
            </w:r>
          </w:p>
        </w:tc>
      </w:tr>
    </w:tbl>
    <w:p>
      <w:pPr>
        <w:pStyle w:val="Normal"/>
        <w:jc w:val="right"/>
        <w:rPr>
          <w:rStyle w:val="IturriaKar"/>
        </w:rPr>
      </w:pPr>
      <w:r>
        <w:rPr>
          <w:rStyle w:val="IturriaKar"/>
        </w:rPr>
        <w:t>Iturria: Eusko Jaurlaritzaren fidantza gordailua eta Eustat.</w:t>
      </w:r>
    </w:p>
    <w:p>
      <w:pPr>
        <w:pStyle w:val="Normal"/>
        <w:jc w:val="right"/>
        <w:rPr>
          <w:rStyle w:val="IturriaKar"/>
        </w:rPr>
      </w:pPr>
      <w:r>
        <w:rPr/>
      </w:r>
    </w:p>
    <w:p>
      <w:pPr>
        <w:pStyle w:val="Caption"/>
        <w:rPr>
          <w:rStyle w:val="IturriaKar"/>
        </w:rPr>
      </w:pPr>
      <w:bookmarkStart w:id="355" w:name="_Toc191031190"/>
      <w:bookmarkStart w:id="356" w:name="_Ref176949958"/>
      <w:r>
        <w:rPr/>
        <w:fldChar w:fldCharType="begin"/>
      </w:r>
      <w:r>
        <w:rPr/>
        <w:instrText xml:space="preserve"> SEQ Taula \* ARABIC </w:instrText>
      </w:r>
      <w:r>
        <w:rPr/>
        <w:fldChar w:fldCharType="separate"/>
      </w:r>
      <w:r>
        <w:rPr/>
        <w:t>47</w:t>
      </w:r>
      <w:r>
        <w:rPr/>
        <w:fldChar w:fldCharType="end"/>
      </w:r>
      <w:r>
        <w:rPr/>
        <w:t>. Taula</w:t>
      </w:r>
      <w:bookmarkEnd w:id="356"/>
      <w:r>
        <w:rPr/>
        <w:t>: Bizikidetza-unitateen urteko diru sarrera eta ahalegin ekonomikoa barrutiaren arabera (€).</w:t>
        <w:br/>
        <w:t>Pasaia, 2021</w:t>
      </w:r>
      <w:bookmarkEnd w:id="355"/>
    </w:p>
    <w:tbl>
      <w:tblPr>
        <w:tblW w:w="808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191"/>
        <w:gridCol w:w="2660"/>
        <w:gridCol w:w="1960"/>
        <w:gridCol w:w="2268"/>
      </w:tblGrid>
      <w:tr>
        <w:trPr>
          <w:trHeight w:val="300" w:hRule="atLeast"/>
        </w:trPr>
        <w:tc>
          <w:tcPr>
            <w:tcW w:w="1191" w:type="dxa"/>
            <w:vMerge w:val="restart"/>
            <w:tcBorders>
              <w:bottom w:val="single" w:sz="4" w:space="0" w:color="000000"/>
              <w:right w:val="single" w:sz="4" w:space="0" w:color="000000"/>
            </w:tcBorders>
            <w:shd w:color="000000" w:fill="000000" w:val="clear"/>
            <w:vAlign w:val="center"/>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Eremua</w:t>
            </w:r>
          </w:p>
        </w:tc>
        <w:tc>
          <w:tcPr>
            <w:tcW w:w="26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Diru-sarrera</w:t>
            </w:r>
          </w:p>
        </w:tc>
        <w:tc>
          <w:tcPr>
            <w:tcW w:w="4228" w:type="dxa"/>
            <w:gridSpan w:val="2"/>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t>Ahalegin ekonomikoa</w:t>
            </w:r>
          </w:p>
        </w:tc>
      </w:tr>
      <w:tr>
        <w:trPr>
          <w:trHeight w:val="300" w:hRule="atLeast"/>
        </w:trPr>
        <w:tc>
          <w:tcPr>
            <w:tcW w:w="1191" w:type="dxa"/>
            <w:vMerge w:val="continue"/>
            <w:tcBorders>
              <w:bottom w:val="single" w:sz="4" w:space="0" w:color="000000"/>
              <w:right w:val="single" w:sz="4" w:space="0" w:color="000000"/>
            </w:tcBorders>
            <w:vAlign w:val="center"/>
          </w:tcPr>
          <w:p>
            <w:pPr>
              <w:pStyle w:val="Normal"/>
              <w:widowControl w:val="false"/>
              <w:spacing w:lineRule="auto" w:line="240" w:before="0" w:after="0"/>
              <w:rPr>
                <w:rFonts w:ascii="Calibri Light" w:hAnsi="Calibri Light" w:eastAsia="Times New Roman" w:cs="Calibri Light"/>
                <w:b/>
                <w:bCs/>
                <w:color w:val="FFFFFF"/>
                <w:kern w:val="0"/>
                <w:sz w:val="20"/>
                <w:szCs w:val="20"/>
                <w:lang w:eastAsia="eu-ES"/>
                <w14:ligatures w14:val="none"/>
              </w:rPr>
            </w:pPr>
            <w:r>
              <w:rPr>
                <w:rFonts w:eastAsia="Times New Roman" w:cs="Calibri Light"/>
                <w:b/>
                <w:bCs/>
                <w:color w:val="FFFFFF"/>
                <w:kern w:val="0"/>
                <w:sz w:val="20"/>
                <w:szCs w:val="20"/>
                <w:lang w:eastAsia="eu-ES"/>
                <w14:ligatures w14:val="none"/>
              </w:rPr>
            </w:r>
          </w:p>
        </w:tc>
        <w:tc>
          <w:tcPr>
            <w:tcW w:w="26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Familia-errenta erabilgarria</w:t>
            </w:r>
          </w:p>
        </w:tc>
        <w:tc>
          <w:tcPr>
            <w:tcW w:w="1960" w:type="dxa"/>
            <w:tcBorders>
              <w:bottom w:val="single" w:sz="4" w:space="0" w:color="000000"/>
              <w:right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Hornidura gastuak</w:t>
            </w:r>
          </w:p>
        </w:tc>
        <w:tc>
          <w:tcPr>
            <w:tcW w:w="2268" w:type="dxa"/>
            <w:tcBorders>
              <w:bottom w:val="single" w:sz="4" w:space="0" w:color="000000"/>
            </w:tcBorders>
            <w:shd w:color="000000" w:fill="000000" w:val="clear"/>
            <w:vAlign w:val="bottom"/>
          </w:tcPr>
          <w:p>
            <w:pPr>
              <w:pStyle w:val="Normal"/>
              <w:widowControl w:val="false"/>
              <w:spacing w:lineRule="auto" w:line="240" w:before="0" w:after="0"/>
              <w:jc w:val="center"/>
              <w:rPr>
                <w:rFonts w:ascii="Calibri Light" w:hAnsi="Calibri Light" w:eastAsia="Times New Roman" w:cs="Calibri Light"/>
                <w:i/>
                <w:i/>
                <w:iCs/>
                <w:color w:val="FFFFFF"/>
                <w:kern w:val="0"/>
                <w:sz w:val="20"/>
                <w:szCs w:val="20"/>
                <w:lang w:eastAsia="eu-ES"/>
                <w14:ligatures w14:val="none"/>
              </w:rPr>
            </w:pPr>
            <w:r>
              <w:rPr>
                <w:rFonts w:eastAsia="Times New Roman" w:cs="Calibri Light"/>
                <w:i/>
                <w:iCs/>
                <w:color w:val="FFFFFF"/>
                <w:kern w:val="0"/>
                <w:sz w:val="20"/>
                <w:szCs w:val="20"/>
                <w:lang w:eastAsia="eu-ES"/>
                <w14:ligatures w14:val="none"/>
              </w:rPr>
              <w:t>Alokairu-errenta</w:t>
            </w:r>
          </w:p>
        </w:tc>
      </w:tr>
      <w:tr>
        <w:trPr>
          <w:trHeight w:val="300" w:hRule="atLeast"/>
        </w:trPr>
        <w:tc>
          <w:tcPr>
            <w:tcW w:w="119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Antxo</w:t>
            </w:r>
          </w:p>
        </w:tc>
        <w:tc>
          <w:tcPr>
            <w:tcW w:w="26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32.505</w:t>
            </w:r>
          </w:p>
        </w:tc>
        <w:tc>
          <w:tcPr>
            <w:tcW w:w="1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3.110,3</w:t>
            </w:r>
          </w:p>
        </w:tc>
        <w:tc>
          <w:tcPr>
            <w:tcW w:w="2268"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8.194,8 (682,9€ hilean)</w:t>
            </w:r>
          </w:p>
        </w:tc>
      </w:tr>
      <w:tr>
        <w:trPr>
          <w:trHeight w:val="300" w:hRule="atLeast"/>
        </w:trPr>
        <w:tc>
          <w:tcPr>
            <w:tcW w:w="119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Donibane</w:t>
            </w:r>
          </w:p>
        </w:tc>
        <w:tc>
          <w:tcPr>
            <w:tcW w:w="26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34.241</w:t>
            </w:r>
          </w:p>
        </w:tc>
        <w:tc>
          <w:tcPr>
            <w:tcW w:w="1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3.110,3</w:t>
            </w:r>
          </w:p>
        </w:tc>
        <w:tc>
          <w:tcPr>
            <w:tcW w:w="2268"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8.295,6 (691,3€ hilean)</w:t>
            </w:r>
          </w:p>
        </w:tc>
      </w:tr>
      <w:tr>
        <w:trPr>
          <w:trHeight w:val="300" w:hRule="atLeast"/>
        </w:trPr>
        <w:tc>
          <w:tcPr>
            <w:tcW w:w="119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San Pedro</w:t>
            </w:r>
          </w:p>
        </w:tc>
        <w:tc>
          <w:tcPr>
            <w:tcW w:w="26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33.756</w:t>
            </w:r>
          </w:p>
        </w:tc>
        <w:tc>
          <w:tcPr>
            <w:tcW w:w="1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3.110,3</w:t>
            </w:r>
          </w:p>
        </w:tc>
        <w:tc>
          <w:tcPr>
            <w:tcW w:w="2268"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8.394 (699,5€ hilean)</w:t>
            </w:r>
          </w:p>
        </w:tc>
      </w:tr>
      <w:tr>
        <w:trPr>
          <w:trHeight w:val="300" w:hRule="atLeast"/>
        </w:trPr>
        <w:tc>
          <w:tcPr>
            <w:tcW w:w="1191"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Trintxerpe</w:t>
            </w:r>
          </w:p>
        </w:tc>
        <w:tc>
          <w:tcPr>
            <w:tcW w:w="26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30.979</w:t>
            </w:r>
          </w:p>
        </w:tc>
        <w:tc>
          <w:tcPr>
            <w:tcW w:w="1960" w:type="dxa"/>
            <w:tcBorders>
              <w:bottom w:val="single" w:sz="4" w:space="0" w:color="000000"/>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3.110,3</w:t>
            </w:r>
          </w:p>
        </w:tc>
        <w:tc>
          <w:tcPr>
            <w:tcW w:w="2268" w:type="dxa"/>
            <w:tcBorders>
              <w:bottom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color w:val="000000"/>
                <w:kern w:val="0"/>
                <w:sz w:val="20"/>
                <w:szCs w:val="20"/>
                <w:lang w:eastAsia="eu-ES"/>
                <w14:ligatures w14:val="none"/>
              </w:rPr>
            </w:pPr>
            <w:r>
              <w:rPr>
                <w:rFonts w:eastAsia="Times New Roman" w:cs="Calibri Light"/>
                <w:color w:val="000000"/>
                <w:kern w:val="0"/>
                <w:sz w:val="20"/>
                <w:szCs w:val="20"/>
                <w:lang w:eastAsia="eu-ES"/>
                <w14:ligatures w14:val="none"/>
              </w:rPr>
              <w:t>8.488,8 (707,4€ hilean)</w:t>
            </w:r>
          </w:p>
        </w:tc>
      </w:tr>
      <w:tr>
        <w:trPr>
          <w:trHeight w:val="300" w:hRule="atLeast"/>
        </w:trPr>
        <w:tc>
          <w:tcPr>
            <w:tcW w:w="1191" w:type="dxa"/>
            <w:tcBorders>
              <w:right w:val="single" w:sz="4" w:space="0" w:color="000000"/>
            </w:tcBorders>
            <w:shd w:color="auto" w:fill="auto" w:val="clear"/>
            <w:vAlign w:val="bottom"/>
          </w:tcPr>
          <w:p>
            <w:pPr>
              <w:pStyle w:val="Normal"/>
              <w:widowControl w:val="false"/>
              <w:spacing w:lineRule="auto" w:line="240" w:before="0" w:after="0"/>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Pasaia</w:t>
            </w:r>
          </w:p>
        </w:tc>
        <w:tc>
          <w:tcPr>
            <w:tcW w:w="26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32.440</w:t>
            </w:r>
          </w:p>
        </w:tc>
        <w:tc>
          <w:tcPr>
            <w:tcW w:w="1960" w:type="dxa"/>
            <w:tcBorders>
              <w:right w:val="single" w:sz="4" w:space="0" w:color="000000"/>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3.110,3</w:t>
            </w:r>
          </w:p>
        </w:tc>
        <w:tc>
          <w:tcPr>
            <w:tcW w:w="2268" w:type="dxa"/>
            <w:tcBorders/>
            <w:shd w:color="auto" w:fill="auto" w:val="clear"/>
            <w:vAlign w:val="bottom"/>
          </w:tcPr>
          <w:p>
            <w:pPr>
              <w:pStyle w:val="Normal"/>
              <w:widowControl w:val="false"/>
              <w:spacing w:lineRule="auto" w:line="240" w:before="0" w:after="0"/>
              <w:jc w:val="right"/>
              <w:rPr>
                <w:rFonts w:ascii="Calibri Light" w:hAnsi="Calibri Light" w:eastAsia="Times New Roman" w:cs="Calibri Light"/>
                <w:b/>
                <w:bCs/>
                <w:color w:val="000000"/>
                <w:kern w:val="0"/>
                <w:sz w:val="20"/>
                <w:szCs w:val="20"/>
                <w:lang w:eastAsia="eu-ES"/>
                <w14:ligatures w14:val="none"/>
              </w:rPr>
            </w:pPr>
            <w:r>
              <w:rPr>
                <w:rFonts w:eastAsia="Times New Roman" w:cs="Calibri Light"/>
                <w:b/>
                <w:bCs/>
                <w:color w:val="000000"/>
                <w:kern w:val="0"/>
                <w:sz w:val="20"/>
                <w:szCs w:val="20"/>
                <w:lang w:eastAsia="eu-ES"/>
                <w14:ligatures w14:val="none"/>
              </w:rPr>
              <w:t>8.542,8 (711,9€ hilean)</w:t>
            </w:r>
          </w:p>
        </w:tc>
      </w:tr>
    </w:tbl>
    <w:p>
      <w:pPr>
        <w:pStyle w:val="Normal"/>
        <w:tabs>
          <w:tab w:val="clear" w:pos="708"/>
          <w:tab w:val="left" w:pos="2115" w:leader="none"/>
          <w:tab w:val="right" w:pos="8504" w:leader="none"/>
        </w:tabs>
        <w:jc w:val="right"/>
        <w:rPr>
          <w:rStyle w:val="IturriaKar"/>
        </w:rPr>
      </w:pPr>
      <w:r>
        <w:rPr>
          <w:rStyle w:val="IturriaKar"/>
        </w:rPr>
        <w:tab/>
        <w:t>Iturria: Eusko Jaurlaritzaren fidantza gordailua eta Eustat.</w:t>
      </w:r>
    </w:p>
    <w:p>
      <w:pPr>
        <w:pStyle w:val="Normal"/>
        <w:rPr>
          <w:rStyle w:val="IturriaKar"/>
        </w:rPr>
      </w:pPr>
      <w:r>
        <w:rPr/>
      </w:r>
      <w:r>
        <w:br w:type="page"/>
      </w:r>
    </w:p>
    <w:p>
      <w:pPr>
        <w:pStyle w:val="Normal"/>
        <w:tabs>
          <w:tab w:val="clear" w:pos="708"/>
          <w:tab w:val="left" w:pos="2115" w:leader="none"/>
          <w:tab w:val="right" w:pos="8504" w:leader="none"/>
        </w:tabs>
        <w:jc w:val="both"/>
        <w:rPr/>
      </w:pPr>
      <w:r>
        <w:rPr/>
        <w:t xml:space="preserve">Horiek horrela, eskuragarri dauden azken datuen eta zehaztutako metodologiaren arabera, Pasaiak tentsio eremu izendatzeko bigarren irizpidea betetzen du izan udalerriak bere osotasunean zein barrutiek banan bana aztertuta. 2021 urtean alokairu-errenta eta hornidura gastuei aurre egiteko batez besteko urteko kostua, udalerria bere osotasunean hartuta, </w:t>
      </w:r>
      <w:bookmarkStart w:id="357" w:name="_Hlk190865497"/>
      <w:r>
        <w:rPr/>
        <w:t>11.653,1</w:t>
      </w:r>
      <w:bookmarkEnd w:id="357"/>
      <w:r>
        <w:rPr/>
        <w:t>€ izan ziren, familia-errenta erabilgarriaren (</w:t>
      </w:r>
      <w:bookmarkStart w:id="358" w:name="_Hlk190865519"/>
      <w:r>
        <w:rPr/>
        <w:t>32.440</w:t>
      </w:r>
      <w:bookmarkEnd w:id="358"/>
      <w:r>
        <w:rPr/>
        <w:t xml:space="preserve">€) %35,9, alegia. Gainera, azpimarratu behar da barruti guztietan familien esfortzu mailak %30a gainditzen duela: Antxo (%34,8), Donibane (%33,3), San Pedro (%34,1) eta Trintxerpe (%37,4). Egoera bereziki kritikoa da Trintxerpen  (ikus </w:t>
      </w:r>
      <w:r>
        <w:rPr/>
        <w:fldChar w:fldCharType="begin"/>
      </w:r>
      <w:r>
        <w:rPr/>
        <w:instrText xml:space="preserve"> REF _Ref177455474 \h </w:instrText>
      </w:r>
      <w:r>
        <w:rPr/>
        <w:fldChar w:fldCharType="separate"/>
      </w:r>
      <w:r>
        <w:rPr/>
        <w:t>69. Grafikoa</w:t>
      </w:r>
      <w:r>
        <w:rPr/>
        <w:fldChar w:fldCharType="end"/>
      </w:r>
      <w:r>
        <w:rPr/>
        <w:t xml:space="preserve"> eta </w:t>
      </w:r>
      <w:r>
        <w:rPr/>
        <w:fldChar w:fldCharType="begin"/>
      </w:r>
      <w:r>
        <w:rPr/>
        <w:instrText xml:space="preserve"> REF _Ref176949958 \h </w:instrText>
      </w:r>
      <w:r>
        <w:rPr/>
        <w:fldChar w:fldCharType="separate"/>
      </w:r>
      <w:r>
        <w:rPr/>
        <w:t>47. Taula</w:t>
      </w:r>
      <w:r>
        <w:rPr/>
        <w:fldChar w:fldCharType="end"/>
      </w:r>
      <w:r>
        <w:rPr/>
        <w:t>).</w:t>
      </w:r>
    </w:p>
    <w:p>
      <w:pPr>
        <w:pStyle w:val="Normal"/>
        <w:tabs>
          <w:tab w:val="clear" w:pos="708"/>
          <w:tab w:val="left" w:pos="2115" w:leader="none"/>
          <w:tab w:val="right" w:pos="8504" w:leader="none"/>
        </w:tabs>
        <w:jc w:val="both"/>
        <w:rPr>
          <w:rStyle w:val="IturriaKar"/>
        </w:rPr>
      </w:pPr>
      <w:r>
        <w:rPr/>
        <w:t>Baldintza horrek, ordea, kasuistika orokor bat bakarrik aztertzen du, familia eredu tradizionalarena, eta denbora jakin batean. Irizpidea aztertzeko emakumeak hartzaile nagusi diren 2021 urteko familia-errenta erabilgarriaren batez bestekoa baliatuko balitz, 27.584€, alegia, alokairu-errentara eta hornidura gastuetara bideratutako ahalegin ekonomikoa %42,2koa litzateke, metodologian zehaztutako irizpidearen oso gainetik. Modu berean, irizpideak ez du aintzat hartzen ezinbestean bakarrik bizitzera behartuta dauden pertsonen kasuistika. Pasaiako batez besteko errenta pertsonal erabilgarriaren arabera (16.317€), pertsona batek bere diru-sarreren %71,4a bideratu beharko luke etxebizitza gastuetara. Gainera, alokairuen azken urteetako igoerak egoera horiek are eta kritikoago bilakatu direla iradokitzen du.</w:t>
      </w:r>
    </w:p>
    <w:p>
      <w:pPr>
        <w:pStyle w:val="Caption"/>
        <w:rPr/>
      </w:pPr>
      <w:bookmarkStart w:id="359" w:name="_Toc191031143"/>
      <w:bookmarkStart w:id="360" w:name="_Ref177455474"/>
      <w:r>
        <w:rPr/>
        <w:fldChar w:fldCharType="begin"/>
      </w:r>
      <w:r>
        <w:rPr/>
        <w:instrText xml:space="preserve"> SEQ Grafikoa \* ARABIC </w:instrText>
      </w:r>
      <w:r>
        <w:rPr/>
        <w:fldChar w:fldCharType="separate"/>
      </w:r>
      <w:r>
        <w:rPr/>
        <w:t>69</w:t>
      </w:r>
      <w:r>
        <w:rPr/>
        <w:fldChar w:fldCharType="end"/>
      </w:r>
      <w:r>
        <w:rPr/>
        <w:t>. Grafikoa</w:t>
      </w:r>
      <w:bookmarkEnd w:id="360"/>
      <w:r>
        <w:rPr/>
        <w:t>: Bizikidetza-unitateen diru sarrera eta ahalegin ekonomikoa (€).</w:t>
        <w:br/>
        <w:t>Pasaia eta bere barrutiak, 2021</w:t>
      </w:r>
      <w:bookmarkEnd w:id="359"/>
    </w:p>
    <w:p>
      <w:pPr>
        <w:pStyle w:val="Normal"/>
        <w:rPr/>
      </w:pPr>
      <w:r>
        <w:rPr/>
        <w:drawing>
          <wp:inline distT="0" distB="0" distL="0" distR="0">
            <wp:extent cx="5391150" cy="3200400"/>
            <wp:effectExtent l="0" t="0" r="0" b="0"/>
            <wp:docPr id="78" name="Imagen64" descr="Hau duen irudia testua, pantaila-argazkia, diagrama, diseinu&#10;&#10;Baliteke AAk sortutako edukia zuzena ez iz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64" descr="Hau duen irudia testua, pantaila-argazkia, diagrama, diseinu&#10;&#10;Baliteke AAk sortutako edukia zuzena ez izatea."/>
                    <pic:cNvPicPr>
                      <a:picLocks noChangeAspect="1" noChangeArrowheads="1"/>
                    </pic:cNvPicPr>
                  </pic:nvPicPr>
                  <pic:blipFill>
                    <a:blip r:embed="rId79"/>
                    <a:stretch>
                      <a:fillRect/>
                    </a:stretch>
                  </pic:blipFill>
                  <pic:spPr bwMode="auto">
                    <a:xfrm>
                      <a:off x="0" y="0"/>
                      <a:ext cx="5391150" cy="3200400"/>
                    </a:xfrm>
                    <a:prstGeom prst="rect">
                      <a:avLst/>
                    </a:prstGeom>
                  </pic:spPr>
                </pic:pic>
              </a:graphicData>
            </a:graphic>
          </wp:inline>
        </w:drawing>
      </w:r>
    </w:p>
    <w:p>
      <w:pPr>
        <w:pStyle w:val="Normal"/>
        <w:jc w:val="right"/>
        <w:rPr>
          <w:rStyle w:val="IturriaKar"/>
        </w:rPr>
      </w:pPr>
      <w:r>
        <w:rPr>
          <w:sz w:val="18"/>
          <w:szCs w:val="18"/>
        </w:rPr>
        <w:t xml:space="preserve"> </w:t>
      </w:r>
      <w:r>
        <w:rPr>
          <w:rStyle w:val="IturriaKar"/>
        </w:rPr>
        <w:t>Iturria: Eusko Jaurlaritzaren fidantza gordailua eta Eustaten Familia gastuen inkesta.</w:t>
      </w:r>
    </w:p>
    <w:p>
      <w:pPr>
        <w:pStyle w:val="Normal"/>
        <w:jc w:val="right"/>
        <w:rPr>
          <w:rStyle w:val="IturriaKar"/>
        </w:rPr>
      </w:pPr>
      <w:r>
        <w:rPr/>
      </w:r>
    </w:p>
    <w:p>
      <w:pPr>
        <w:pStyle w:val="Normal"/>
        <w:jc w:val="right"/>
        <w:rPr>
          <w:rStyle w:val="IturriaKar"/>
        </w:rPr>
      </w:pPr>
      <w:r>
        <w:rPr/>
      </w:r>
    </w:p>
    <w:p>
      <w:pPr>
        <w:pStyle w:val="Normal"/>
        <w:rPr>
          <w:rStyle w:val="IturriaKar"/>
        </w:rPr>
      </w:pPr>
      <w:r>
        <w:rPr/>
      </w:r>
      <w:r>
        <w:br w:type="page"/>
      </w:r>
    </w:p>
    <w:p>
      <w:pPr>
        <w:pStyle w:val="Ttulo1"/>
        <w:rPr/>
      </w:pPr>
      <w:bookmarkStart w:id="361" w:name="_Toc191031064"/>
      <w:r>
        <w:rPr/>
        <w:t>Ondorioak</w:t>
      </w:r>
      <w:bookmarkEnd w:id="361"/>
    </w:p>
    <w:p>
      <w:pPr>
        <w:pStyle w:val="Ttulo2"/>
        <w:rPr/>
      </w:pPr>
      <w:bookmarkStart w:id="362" w:name="_Toc191031065"/>
      <w:bookmarkStart w:id="363" w:name="_Toc171936605"/>
      <w:r>
        <w:rPr/>
        <w:t>Demografia</w:t>
      </w:r>
      <w:bookmarkEnd w:id="362"/>
      <w:bookmarkEnd w:id="363"/>
    </w:p>
    <w:p>
      <w:pPr>
        <w:pStyle w:val="Ondorioa"/>
        <w:rPr/>
      </w:pPr>
      <w:r>
        <w:rPr/>
        <w:t>1 ondorioa:</w:t>
      </w:r>
    </w:p>
    <w:p>
      <w:pPr>
        <w:pStyle w:val="Ondorioa"/>
        <w:rPr>
          <w:rFonts w:ascii="Calibri Light" w:hAnsi="Calibri Light" w:asciiTheme="majorHAnsi" w:hAnsiTheme="majorHAnsi"/>
          <w:b w:val="false"/>
          <w:sz w:val="22"/>
          <w:szCs w:val="22"/>
        </w:rPr>
      </w:pPr>
      <w:r>
        <w:rPr>
          <w:rFonts w:ascii="Calibri Light" w:hAnsi="Calibri Light" w:asciiTheme="majorHAnsi" w:hAnsiTheme="majorHAnsi"/>
          <w:b w:val="false"/>
          <w:sz w:val="22"/>
          <w:szCs w:val="22"/>
        </w:rPr>
        <w:t>Azken bi hamarkadetan Pasaiako biztanleria hazkundea negatiboa izan da, inguruko udalerriek izan dutenaren kontrako norabidean. Bere beherakada demografikoa %0,7koa izan da: 2000. urtean 16.776 biztanle izatetik 2024. urtean 16.659 biztanle izatera igaro da.</w:t>
      </w:r>
    </w:p>
    <w:p>
      <w:pPr>
        <w:pStyle w:val="Normal"/>
        <w:jc w:val="both"/>
        <w:rPr/>
      </w:pPr>
      <w:r>
        <w:rPr/>
        <w:t>Bi hamarkada hauetan, ordea, bilakaera ez da berdina izan 2000-2024 aldian. Erreferentziazko eremuak hazten ari ziren bitartean Pasaiak hazkunde negatiboa izan zuen 2000-2013 artean. 914 biztanle galdu zituen, hain zuzen. Urte horretatik aurrera, ordea, joera aldatu eta biztanleria hazkunde positiboaren aldia hasi zen, milurteko hasierako biztanle kopurua ia berreskuratzeraino. Laburbilduz, azken urteetan Pasaiako biztanle kopurua handitzen ari da. Antxok hazkunde handia izan du, San Pedro biztanleak bereganatzen ari da, Trintxerpek nekez eusten dio eta Donibanek biztanleak galtzen jarraitzen du.</w:t>
      </w:r>
    </w:p>
    <w:p>
      <w:pPr>
        <w:pStyle w:val="Normal"/>
        <w:jc w:val="both"/>
        <w:rPr/>
      </w:pPr>
      <w:r>
        <w:rPr/>
        <w:t>Pasaiako biztanleria-egitura ere aldatu egin da. Batetik, biztanleriaren adin egitura zahartu egin da, eta, bestetik, biztanleriaren jaioterriaren araberako proportzioak aldatu egin dira. 20-34 urte bitarteko gazteen belaunaldia (%16,6) da indarra gehien galdu duena. Gazteen kasuan zehazki, biztanleria osoarekiko pisu erlatiboa 9,1 puntu murriztu da. Beste modu batera esanda, adin tarte horretan gaur egun duela 25 urte baino 1.552 pertsona gutxiago bizi dira. Aipatzekoa da, edonola ere, gazteen galera handienak mende hasierako hamarkadan izan zirela (hazkunde ekonomikoko garaian). Ondorioz, hurrengo urteetan Pasaiak biztanleria modu naturalean biziberritzeko ezintasuna izango du.</w:t>
      </w:r>
    </w:p>
    <w:p>
      <w:pPr>
        <w:pStyle w:val="Ondorioa"/>
        <w:rPr/>
      </w:pPr>
      <w:r>
        <w:rPr/>
        <w:t>2 ondorioa:</w:t>
      </w:r>
    </w:p>
    <w:p>
      <w:pPr>
        <w:pStyle w:val="Ondorioa"/>
        <w:jc w:val="both"/>
        <w:rPr>
          <w:rFonts w:ascii="Calibri Light" w:hAnsi="Calibri Light" w:asciiTheme="majorHAnsi" w:hAnsiTheme="majorHAnsi"/>
          <w:b w:val="false"/>
          <w:sz w:val="22"/>
          <w:szCs w:val="22"/>
        </w:rPr>
      </w:pPr>
      <w:r>
        <w:rPr>
          <w:rFonts w:ascii="Calibri Light" w:hAnsi="Calibri Light" w:asciiTheme="majorHAnsi" w:hAnsiTheme="majorHAnsi"/>
          <w:b w:val="false"/>
          <w:sz w:val="22"/>
          <w:szCs w:val="22"/>
        </w:rPr>
        <w:t xml:space="preserve">Azken urteetako bilakaerak biztanleriaren jaioterriaren araberako egitura ere aldatu du. Atzerritarren tasa, 2000 urtean %1,8 izatetik 2024 urtean %19,9 izatera igaro da. Azken urtean, beraz, estatutik kanpo jaiotako 3.307 herritar ditu Pasaiak. Erreferentziazko eremuek baino atzerritarren tasa handiagoa du. </w:t>
      </w:r>
    </w:p>
    <w:p>
      <w:pPr>
        <w:pStyle w:val="Ondorioa"/>
        <w:jc w:val="both"/>
        <w:rPr>
          <w:rFonts w:ascii="Calibri Light" w:hAnsi="Calibri Light" w:asciiTheme="majorHAnsi" w:hAnsiTheme="majorHAnsi"/>
          <w:b w:val="false"/>
          <w:sz w:val="22"/>
          <w:szCs w:val="22"/>
        </w:rPr>
      </w:pPr>
      <w:r>
        <w:rPr>
          <w:rFonts w:ascii="Calibri Light" w:hAnsi="Calibri Light" w:asciiTheme="majorHAnsi" w:hAnsiTheme="majorHAnsi"/>
          <w:b w:val="false"/>
          <w:sz w:val="22"/>
          <w:szCs w:val="22"/>
        </w:rPr>
        <w:t>Pasaian bizi diren pertsonen %20,7a Pasaian bertan jaio da. Gainerako jatorriei dagokionez, multzorik jendetsuena Donostialdean jaiotakoena da (6.996 pertsona, %41,2), kontuan izanda, zaharrenak Donostian jaiotako pasaitarrak izan daitezkeela. Estatutik kanpo jaiotako biztanleei dagokionez (3.307 pertsona) gehienak amerikarrak dira (1.922 pertsona), jarraian datoz europarrak (689 pertsona) eta afrikarrak (521 pertsona), besteak beste.</w:t>
      </w:r>
    </w:p>
    <w:p>
      <w:pPr>
        <w:pStyle w:val="Ondorioa"/>
        <w:rPr/>
      </w:pPr>
      <w:r>
        <w:rPr/>
        <w:t>3 ondorioa:</w:t>
      </w:r>
    </w:p>
    <w:p>
      <w:pPr>
        <w:pStyle w:val="Normal"/>
        <w:jc w:val="both"/>
        <w:rPr/>
      </w:pPr>
      <w:r>
        <w:rPr/>
        <w:t xml:space="preserve">Demografiari barrutiz barruti erreparatuz biztanleria horrela banatzen da: Antxo (5.369 pertsona), Donibane (2.185 pertsona), San Pedro (3.063 pertsona) eta Trintxerpe (6.042 pertsona). Trintxerpek biztanle gehiago izan arren, Antxok du dentsitate handiena bere azaleran. Atzerritarren tasarekin joera antzekoa da, San Pedro eta Donibane dira proportzio apalena dutenak eta Trintxerpe eta Antxo proportzio handienekoak. Ondorioz, estatutik kanpo jaiotako biztanle proportzioaren arabera banatzen dira distritu zahartuenak (San Pedro eta Donibane) eta gazteenak (Antxo eta Trintxerpe). </w:t>
      </w:r>
    </w:p>
    <w:p>
      <w:pPr>
        <w:pStyle w:val="Ondorioa"/>
        <w:rPr/>
      </w:pPr>
      <w:r>
        <w:rPr/>
        <w:t>4 ondorioa:</w:t>
      </w:r>
    </w:p>
    <w:p>
      <w:pPr>
        <w:pStyle w:val="Normal"/>
        <w:jc w:val="both"/>
        <w:rPr/>
      </w:pPr>
      <w:r>
        <w:rPr/>
        <w:t xml:space="preserve">Milurtekoaren hasieratik egon den migrazio saldo positiboa azken hamarkadako migrazio mugimenduaren ondorio da. 2000-2024 urteen artean Pasaiak 871 pertsonako migrazio saldo positiboa izan du: 22.036 alta eta 21.165 baja. Alta eta baja kopurua urtez urte handituz joan da, baina bi aldi argi bereizi daitezke. 2000-2012 urteen artean, oro har, bajak altak baino gehiago izan dira (712 pertsonako migrazio saldo negatiboa). 2013-2024 urteen bitartean, berriz, altak bajak baino nabarmen gehiago izan dira (1.583 pertsonako migrazio saldo positiboa). </w:t>
      </w:r>
    </w:p>
    <w:p>
      <w:pPr>
        <w:pStyle w:val="Normal"/>
        <w:jc w:val="both"/>
        <w:rPr/>
      </w:pPr>
      <w:r>
        <w:rPr/>
        <w:t>Alten %63,3a Donostialdeko udalerriren batetik etorri da (10.455 pertsona), baina alta guztien %17,3arentzat ez dago jatorriari buruzko informaziorik. Badakigu, ordea, 2009-2024 artean Pasaian erroldatutako pertsonen %45,0ak ez duela espainiar herritartasunik. Aldiz, udalerria utzi duten gehienak gazteak izan dira eta %57,8a Donostialdeko udalerriren batera joan da (8.681 pertsona), gehienak Donostiara (5.432 pertsona).</w:t>
      </w:r>
    </w:p>
    <w:p>
      <w:pPr>
        <w:pStyle w:val="Ondorioa"/>
        <w:rPr/>
      </w:pPr>
      <w:r>
        <w:rPr/>
        <w:t>5 ondorioa:</w:t>
      </w:r>
    </w:p>
    <w:p>
      <w:pPr>
        <w:pStyle w:val="Ondorioa"/>
        <w:jc w:val="both"/>
        <w:rPr>
          <w:rFonts w:ascii="Calibri Light" w:hAnsi="Calibri Light" w:asciiTheme="majorHAnsi" w:hAnsiTheme="majorHAnsi"/>
          <w:b w:val="false"/>
          <w:sz w:val="22"/>
          <w:szCs w:val="22"/>
        </w:rPr>
      </w:pPr>
      <w:bookmarkStart w:id="364" w:name="_Toc171936606"/>
      <w:r>
        <w:rPr>
          <w:rFonts w:ascii="Calibri Light" w:hAnsi="Calibri Light" w:asciiTheme="majorHAnsi" w:hAnsiTheme="majorHAnsi"/>
          <w:b w:val="false"/>
          <w:sz w:val="22"/>
          <w:szCs w:val="22"/>
        </w:rPr>
        <w:t xml:space="preserve">Hurrengo 15 urteetan Pasaiako biztanleriaren %7,1eko hazkundea aurreikusten da eta 17.963 biztanle inguru izatera iritsiko litzateke. Hau da, udalerriak gaur egun baino 1.300 bat biztanle gehiago izatera hel daiteke. Arrazoia argia da: migrazio saldo positiboa. Izan ere, biztanleriaren bilakaera naturala bakarrik aintzat hartuko balitz, hau da, jaiotzak eta heriotzak, udalerriaren hazkundea negatiboa izango litzateke, biztanleriaren ia %10 galtzeraino. Udalerriak gaur egun baino 839 bat gazte gehiago izango ditu, baina adineko pertsonen kopurua ere asko handituko da (1.095 pertsona gehiago). Bestalde, 0-19 urte bitarteko pertsonen tasak (%16,5) ia hiru puntu egingo du behera, 35-49 urteko pertsonen tasak (%20,1), aldiz, berdintsu jarraituko du.  </w:t>
      </w:r>
    </w:p>
    <w:p>
      <w:pPr>
        <w:pStyle w:val="Ttulo2"/>
        <w:rPr/>
      </w:pPr>
      <w:bookmarkStart w:id="365" w:name="_Toc171936606"/>
      <w:bookmarkStart w:id="366" w:name="_Toc191031066"/>
      <w:r>
        <w:rPr/>
        <w:t>Bizikidetza-unitateak</w:t>
      </w:r>
      <w:bookmarkEnd w:id="365"/>
      <w:bookmarkEnd w:id="366"/>
    </w:p>
    <w:p>
      <w:pPr>
        <w:pStyle w:val="Ondorioa"/>
        <w:rPr/>
      </w:pPr>
      <w:r>
        <w:rPr/>
        <w:t>6 ondorioa:</w:t>
      </w:r>
    </w:p>
    <w:p>
      <w:pPr>
        <w:pStyle w:val="Ondorioa"/>
        <w:jc w:val="both"/>
        <w:rPr>
          <w:rFonts w:ascii="Calibri Light" w:hAnsi="Calibri Light" w:asciiTheme="majorHAnsi" w:hAnsiTheme="majorHAnsi"/>
          <w:b w:val="false"/>
          <w:sz w:val="22"/>
          <w:szCs w:val="22"/>
        </w:rPr>
      </w:pPr>
      <w:r>
        <w:rPr>
          <w:rFonts w:ascii="Calibri Light" w:hAnsi="Calibri Light" w:asciiTheme="majorHAnsi" w:hAnsiTheme="majorHAnsi"/>
          <w:b w:val="false"/>
          <w:sz w:val="22"/>
          <w:szCs w:val="22"/>
        </w:rPr>
        <w:t xml:space="preserve">Pasaiako bizikidetza-unitateen kopuruak gora egin du azken urteetan. 2009-2024 urteen artean bizikidetza-unitateak 6.434 izatetik 7.052 izatera igaro dira, 618 unitate gehiago, %8,8ko hazkundea, alegia. Bizikidetza-unitate kopuruaren igoera azken urteetako biztanleriaren hazkundeari eta bizikidetza-unitateen tamaina txikitzeari zor zaio. </w:t>
      </w:r>
    </w:p>
    <w:p>
      <w:pPr>
        <w:pStyle w:val="Ondorioa"/>
        <w:jc w:val="both"/>
        <w:rPr>
          <w:rFonts w:ascii="Calibri Light" w:hAnsi="Calibri Light" w:asciiTheme="majorHAnsi" w:hAnsiTheme="majorHAnsi"/>
          <w:b w:val="false"/>
          <w:sz w:val="22"/>
          <w:szCs w:val="22"/>
        </w:rPr>
      </w:pPr>
      <w:r>
        <w:rPr>
          <w:rFonts w:ascii="Calibri Light" w:hAnsi="Calibri Light" w:asciiTheme="majorHAnsi" w:hAnsiTheme="majorHAnsi"/>
          <w:b w:val="false"/>
          <w:sz w:val="22"/>
          <w:szCs w:val="22"/>
        </w:rPr>
        <w:t>Azken urteetan etxebizitza batean bizi den batez besteko pertsona kopurua txikituz joan da, 2009an 2,48 izatetik 2024ean 2,36 izatera iritsi arte. Hau da, gaur egun pertsona kopuru berdinarentzat duela urte batzuk baino etxebizitza kopuru handiagoa behar da.</w:t>
      </w:r>
    </w:p>
    <w:p>
      <w:pPr>
        <w:pStyle w:val="Ondorioa"/>
        <w:rPr/>
      </w:pPr>
      <w:r>
        <w:rPr/>
        <w:t>7 ondorioa:</w:t>
      </w:r>
    </w:p>
    <w:p>
      <w:pPr>
        <w:pStyle w:val="Ondorioa"/>
        <w:jc w:val="both"/>
        <w:rPr/>
      </w:pPr>
      <w:r>
        <w:rPr>
          <w:rFonts w:ascii="Calibri Light" w:hAnsi="Calibri Light" w:asciiTheme="majorHAnsi" w:hAnsiTheme="majorHAnsi"/>
          <w:b w:val="false"/>
          <w:sz w:val="22"/>
          <w:szCs w:val="22"/>
        </w:rPr>
        <w:t xml:space="preserve">Pasaian 3.124 gazte bizi dira, biztanleria osoaren %18,8a eta horien artean 1.077 gazte daude emantzipatuta, udalerriko adin tarte horretako pertsonen %34,5. Pasaiako emantzipatutako gazteen ehunekoa bere herrialdekoaren eta autonomi erkidegokoaren ehunekoaren gainetik dabil. San Pedro da gazte emantzipatuen proportzio handiena duena (%38,9) eta Donibane  gutxien duena (%28,7). Bien artean daude Antxo (%35,6) eta Trintxerpe (%33,6).  </w:t>
      </w:r>
    </w:p>
    <w:p>
      <w:pPr>
        <w:pStyle w:val="Ondorioa"/>
        <w:rPr/>
      </w:pPr>
      <w:r>
        <w:rPr/>
        <w:t>8 ondorioa:</w:t>
      </w:r>
    </w:p>
    <w:p>
      <w:pPr>
        <w:pStyle w:val="Normal"/>
        <w:jc w:val="both"/>
        <w:rPr>
          <w:strike/>
        </w:rPr>
      </w:pPr>
      <w:r>
        <w:rPr/>
        <w:t xml:space="preserve">Hurrengo 15 urteetan Pasaiako bizikidetza-unitateak %8,6 inguru haziko dira: 7.052 bizikidetza-unitate izatetik 7.713 bizikidetza-unitate izatera, 661 gehiago. bizikidetza-unitateen batez besteko biztanle kopurua gaur egun 2,36 izatetik 2,33 izatera jaitsiko da. Hau da, diferentzia txikia izan arren, gaur egun 1.000 biztanle bizitzeko 424 etxebizitza behar badira, 2040an 429 beharko lirateke; bost gehiago. Bizikidetza-unitateen hazkundeak etxebizitza parkearen gaineko presioa handituko duela aurreikusi daiteke. </w:t>
      </w:r>
    </w:p>
    <w:p>
      <w:pPr>
        <w:pStyle w:val="Ttulo2"/>
        <w:rPr/>
      </w:pPr>
      <w:bookmarkStart w:id="367" w:name="_Toc191031067"/>
      <w:bookmarkStart w:id="368" w:name="_Toc171936607"/>
      <w:r>
        <w:rPr/>
        <w:t>Ezaugarri sozioekonomikoak</w:t>
      </w:r>
      <w:bookmarkEnd w:id="367"/>
      <w:bookmarkEnd w:id="368"/>
    </w:p>
    <w:p>
      <w:pPr>
        <w:pStyle w:val="Ondorioa"/>
        <w:rPr/>
      </w:pPr>
      <w:r>
        <w:rPr/>
        <w:t>9 ondorioa:</w:t>
      </w:r>
    </w:p>
    <w:p>
      <w:pPr>
        <w:pStyle w:val="Normal"/>
        <w:jc w:val="both"/>
        <w:rPr/>
      </w:pPr>
      <w:bookmarkStart w:id="369" w:name="_Toc171936608"/>
      <w:r>
        <w:rPr/>
        <w:t xml:space="preserve">Udalerriko aktibitate-tasa (%59,4)eta okupazio-tasa (%54,3), pixkanaka bada ere, handituz joan dira. 2023ko datuen arabera Pasaia erreferentziazko eremuen gainetik ibili da sail honetan. Langabezia-tasari dagokionez (%8,5), ziklo ekonomikoen eragin handia bizi izan du, bai langabezia hazteko, bai gutxitzeko. Adierazle guztietan sexuen arteko desoreka badago, baina azken urteetan modu positiboan murriztu da. </w:t>
      </w:r>
    </w:p>
    <w:p>
      <w:pPr>
        <w:pStyle w:val="Normal"/>
        <w:jc w:val="both"/>
        <w:rPr/>
      </w:pPr>
      <w:r>
        <w:rPr/>
        <w:t xml:space="preserve">2022eko datuen arabera Pasaiako familia-errenta eskuragarriaren batez bestekoa 34.856€koa da. Pasaiako familiek beraien eskualdeko familiek baino erosketa ahalmen askoz ere txikiagoa dute. Esaterako, Gipuzkoako batez bestekoarekin 10.000€ko aldea dago. Errenta pertsonalean (17.443€) ere gauza bera gertatzen da (5.000€ inguruko aldea Gipuzkoarekiko). Edonola ere, alde nabarmena dago familiako hartzaile nagusia edo errenta pertsonalaren hartzaile nagusia emakumea denean, bai eta maila profesional apalekoa denean ere (migratzaile askoren egoera). </w:t>
      </w:r>
    </w:p>
    <w:p>
      <w:pPr>
        <w:pStyle w:val="Ttulo2"/>
        <w:rPr/>
      </w:pPr>
      <w:bookmarkStart w:id="370" w:name="_Toc171936608"/>
      <w:bookmarkStart w:id="371" w:name="_Toc191031068"/>
      <w:r>
        <w:rPr/>
        <w:t>Etxebizitza parkea</w:t>
      </w:r>
      <w:bookmarkEnd w:id="370"/>
      <w:bookmarkEnd w:id="371"/>
    </w:p>
    <w:p>
      <w:pPr>
        <w:pStyle w:val="Ondorioa"/>
        <w:rPr/>
      </w:pPr>
      <w:r>
        <w:rPr/>
        <w:t>10 ondorioa:</w:t>
      </w:r>
    </w:p>
    <w:p>
      <w:pPr>
        <w:pStyle w:val="Normal"/>
        <w:jc w:val="both"/>
        <w:rPr/>
      </w:pPr>
      <w:r>
        <w:rPr/>
        <w:t xml:space="preserve">Etxebizitza parkea %3,1 hazi da 2010-2022 aldian, Donostialdean, Gipuzkoan eta EAEn hazi denaren erdia ere ez. Gainera, Pasaiako etxebizitza parkearen azken urteetako hazkundea Antxora mugatu da, nagusiki. Horiek horrela, Eustaten azken datuen arabera Pasaiako etxebizitza parkea 7.699 etxebizitzek osatzen dute: horietatik %90,3 etxebizitza nagusiak dira eta %9,7 gainerako etxebizitza motak. Era berean, etxebizitza parkea erreferentziazko eremuetan baino zaharragoa da eta azalera txikiagoa du. Antzinatasunak, esaterako irisgarritasunari dagokionez egoera kritikoa eragiten du hainbat kasutan, Donibane eta San Pedron bereziki. </w:t>
      </w:r>
    </w:p>
    <w:p>
      <w:pPr>
        <w:pStyle w:val="Ondorioa"/>
        <w:rPr/>
      </w:pPr>
      <w:r>
        <w:rPr/>
        <w:t>11 ondorioa:</w:t>
      </w:r>
    </w:p>
    <w:p>
      <w:pPr>
        <w:pStyle w:val="Normal"/>
        <w:jc w:val="both"/>
        <w:rPr/>
      </w:pPr>
      <w:r>
        <w:rPr/>
        <w:t>Pasaian 856 etxebizitza (%10,8) daude inor erroldaturik gabe, etxebizitza hutsen indize estrukturalaren pare. Barrutiaren arabera gorabehera handiak dituela azpimarratu behar da, ordea. Inor erroldatu gabeko etxeen proportzioa altuena Donibanen dago (%15,9) eta segidan datoz San Pedro (%11,8), Antxo (%9,8) eta Trintxerpe (%9,1).</w:t>
      </w:r>
    </w:p>
    <w:p>
      <w:pPr>
        <w:pStyle w:val="Ttulo2"/>
        <w:rPr/>
      </w:pPr>
      <w:bookmarkStart w:id="372" w:name="_Toc191031069"/>
      <w:bookmarkStart w:id="373" w:name="_Toc171936609"/>
      <w:r>
        <w:rPr/>
        <w:t>Etxebizitza beharrak eta eskaria</w:t>
      </w:r>
      <w:bookmarkEnd w:id="372"/>
      <w:bookmarkEnd w:id="373"/>
    </w:p>
    <w:p>
      <w:pPr>
        <w:pStyle w:val="Ondorioa"/>
        <w:rPr/>
      </w:pPr>
      <w:r>
        <w:rPr/>
        <w:t>12 ondorioa:</w:t>
      </w:r>
    </w:p>
    <w:p>
      <w:pPr>
        <w:pStyle w:val="Normal"/>
        <w:jc w:val="both"/>
        <w:rPr/>
      </w:pPr>
      <w:r>
        <w:rPr/>
        <w:t xml:space="preserve">2024ko urriaren 1ean Pasaian 1.511 etxebizitza eskaera zeuden aktibo, mila biztanleko 94,4 eskaera. Eskaera maila hori Inguruko eta Gipuzkoako udalerrien artean altuenetakoa da. Eskaera guztien %63,7 Pasaian erroldatuta dauden herritarrek egin dituzte, ehuneko aipagarria. Bigarrena, eskaeren %76,6 alokairu eskaerak dira. Herrian erroldatutakoen artean proportzio hori handiagoa da (%80,5ak alokairuko etxe baten eskaera egin du). </w:t>
      </w:r>
    </w:p>
    <w:p>
      <w:pPr>
        <w:pStyle w:val="Normal"/>
        <w:jc w:val="both"/>
        <w:rPr/>
      </w:pPr>
      <w:r>
        <w:rPr/>
        <w:t>Eskaeren %57,51 diru sarrera baxu edo baxu-ertaineko pertsonek egin dituzte. Era berean, eskaeren %59,0 pertsona bakarreko bizitegietarako dira. Eta generoaren arabera, emakumeen eskaerak %41,3 dira. Azpimarragarria da 36 urtetik beherako pertsonen eskaerak eskaera guztien %27,7a direla.</w:t>
      </w:r>
    </w:p>
    <w:p>
      <w:pPr>
        <w:pStyle w:val="Ttulo2"/>
        <w:rPr/>
      </w:pPr>
      <w:bookmarkStart w:id="374" w:name="_Toc191031070"/>
      <w:bookmarkStart w:id="375" w:name="_Toc171936610"/>
      <w:r>
        <w:rPr/>
        <w:t>Erosketa erregimeneko etxebizitza merkatua</w:t>
      </w:r>
      <w:bookmarkEnd w:id="374"/>
      <w:bookmarkEnd w:id="375"/>
    </w:p>
    <w:p>
      <w:pPr>
        <w:pStyle w:val="Ondorioa"/>
        <w:rPr/>
      </w:pPr>
      <w:r>
        <w:rPr/>
        <w:t>13 ondorioa:</w:t>
      </w:r>
    </w:p>
    <w:p>
      <w:pPr>
        <w:pStyle w:val="Normal"/>
        <w:jc w:val="both"/>
        <w:rPr/>
      </w:pPr>
      <w:r>
        <w:rPr/>
        <w:t>2004-2024 urteen artean 3.035 salerosketa erregistratu dira udalerrian. Pasaiako biztanleko etxebizitzen salerosketa maila, oro har, Oarsoaldearen, Donostialdearen, Gipuzkoaren zein EAEren parekoa izan da. Salerosketa gehienak bigarren eskuko etxebizitzenak izan dira (%84,6), eta salerosketa guztien %94,5 etxebizitza libreak izan dira. Aldiz, 2014 eta 2015 urteetan egin ziren 197 etxebizitza berrien ia %80a (157 etxebizitza) babes ofizialekoak izan ziren.</w:t>
      </w:r>
    </w:p>
    <w:p>
      <w:pPr>
        <w:pStyle w:val="Ondorioa"/>
        <w:rPr/>
      </w:pPr>
      <w:r>
        <w:rPr/>
        <w:t>14 ondorioa:</w:t>
      </w:r>
    </w:p>
    <w:p>
      <w:pPr>
        <w:pStyle w:val="Normal"/>
        <w:jc w:val="both"/>
        <w:rPr/>
      </w:pPr>
      <w:r>
        <w:rPr/>
        <w:t>Erosketa erregimeneko etxebizitzen prezioen datuak ez daude eskuragarri 40.000 biztanletik beherako eremuetarako. Eskuragarri dauden datu estatistikoetan ikus daiteke etxebizitzaren prezioa, izan etxebizitza osoa edo metro karratua Donostialdean (349.824€) Gipuzkoakoa (285.806€) eta EAEkoa (251.648€) baino arras altuagoa izan dela. Nolanahi ere, Donostialdeko udalerrien barruan muturreko egoerak daude: Donostiako prezioa (480.769€), batetik, eta, Errenteriakoa (210.037€), bestetik, erdira ere iristen ez dena. Donostialdeko udalerrietako familia-errentak alderatuz, pentsa daiteke Pasaiako etxebizitzen salmentako prezioa, Errenterikoa baino txikiagoa izango dela, eta hori bera biztanleria erakartzeko eragile bat izan daiteke.</w:t>
      </w:r>
    </w:p>
    <w:p>
      <w:pPr>
        <w:pStyle w:val="Normal"/>
        <w:jc w:val="both"/>
        <w:rPr/>
      </w:pPr>
      <w:r>
        <w:rPr/>
      </w:r>
    </w:p>
    <w:p>
      <w:pPr>
        <w:pStyle w:val="Ttulo2"/>
        <w:rPr/>
      </w:pPr>
      <w:bookmarkStart w:id="376" w:name="_Toc191031071"/>
      <w:bookmarkStart w:id="377" w:name="_Toc171936611"/>
      <w:r>
        <w:rPr/>
        <w:t>Alokairu erregimeneko etxebizitza merkatua</w:t>
      </w:r>
      <w:bookmarkEnd w:id="376"/>
      <w:bookmarkEnd w:id="377"/>
    </w:p>
    <w:p>
      <w:pPr>
        <w:pStyle w:val="Ondorioa"/>
        <w:rPr/>
      </w:pPr>
      <w:r>
        <w:rPr/>
        <w:t>15 ondorioa:</w:t>
      </w:r>
    </w:p>
    <w:p>
      <w:pPr>
        <w:pStyle w:val="Normal"/>
        <w:jc w:val="both"/>
        <w:rPr/>
      </w:pPr>
      <w:r>
        <w:rPr/>
        <w:t>Alokairuan dauden bizikidetza-unitateen kopurua %115,8 handitu da azken urteetan, 2011 urtean 569 etxebizitza izatetik 2023 urtean 1.228 izatera igaro da. Pasaian alokairuan dauden etxebizitzen tasa (17,7) Donostialdearen (%17,9) parekoa da, baina Gipuzkoaren (%16,0) eta EAEren (%14,8) gainetik dabil, ezbairik gabe.</w:t>
      </w:r>
    </w:p>
    <w:p>
      <w:pPr>
        <w:pStyle w:val="Normal"/>
        <w:jc w:val="both"/>
        <w:rPr/>
      </w:pPr>
      <w:r>
        <w:rPr/>
        <w:t xml:space="preserve">Alokatzeko joera gorakorra izan da urte hauetan eta urtez urte sinatutako kontratu kopuruak erreferentziazko eremuen gainetik ibili dela adierazten digu. Joera indartsu horrek gora-beherak izan ditu, ordea. Gordailuen erregistroaren arabera 2022an 231 gordailu biltzetik 2023an 178 gordailu hartzera igaro zen, %22,9ko beherakada. </w:t>
      </w:r>
    </w:p>
    <w:p>
      <w:pPr>
        <w:pStyle w:val="Normal"/>
        <w:jc w:val="both"/>
        <w:rPr/>
      </w:pPr>
      <w:r>
        <w:rPr/>
        <w:t>2016-2023 urteen artean alokairu-errentaren batez bestekoak eremu guztietan egin du gora. Pasaiaren hazkundea %23,3koa izan da: 2016an alokairu-errenta 625,8€ izatetik 2023an 771,6€ izatera igaro da. Alokairu-errentaren hazkundea erreferentziazko eremuen parekoa izan da, Donostialdeko eremuan izan ezik (%27,5).</w:t>
      </w:r>
    </w:p>
    <w:p>
      <w:pPr>
        <w:pStyle w:val="Normal"/>
        <w:jc w:val="both"/>
        <w:rPr/>
      </w:pPr>
      <w:r>
        <w:rPr/>
        <w:t>Donostialdeko batez besteko alokairu errenta (937,1€) Pasaiakoa baino %17,7 garestiagoa da (165€) eta Donostiaren kasuan diferentzia 265€koa da. Pasaiak hurbiltasunagatik tentsio hori jasaten du eta Donostialdean bizitzen jarri nahi duten pertsonentzat irtenbide bat eskaintzen du. Horren adibide argia da Trintxerpe, Donostia eskuragarrien duen auzoa: udalerriko familia-errenta apalena dagoen eremuan dira alokairu-errentak garestien (eta batez bestekoa baino estandar okerragokoak asko).</w:t>
      </w:r>
    </w:p>
    <w:p>
      <w:pPr>
        <w:pStyle w:val="Ttulo2"/>
        <w:rPr/>
      </w:pPr>
      <w:bookmarkStart w:id="378" w:name="_Toc191031072"/>
      <w:bookmarkStart w:id="379" w:name="_Toc171936612"/>
      <w:r>
        <w:rPr/>
        <w:t>Etxebizitza-programen eta politiken intzidentzia</w:t>
      </w:r>
      <w:bookmarkEnd w:id="378"/>
      <w:bookmarkEnd w:id="379"/>
    </w:p>
    <w:p>
      <w:pPr>
        <w:pStyle w:val="Ondorioa"/>
        <w:rPr/>
      </w:pPr>
      <w:r>
        <w:rPr/>
        <w:t>16 ondorioa:</w:t>
      </w:r>
    </w:p>
    <w:p>
      <w:pPr>
        <w:pStyle w:val="Normal"/>
        <w:jc w:val="both"/>
        <w:rPr/>
      </w:pPr>
      <w:r>
        <w:rPr/>
        <w:t>Etxebizitzaren Euskal Behatokiaren urtarrila amaierako datuen arabera, Pasaian 318 etxebizitza babestu daude, etxebizitza parke osoaren %4,1. Etxebizitzen hiru laurden baino gehiago (242 etxebizitza) Babes Ofizialeko Etxebizitzak (BOE) dira eta gainerako 76 etxebizitzak, berriz, etxebizitza sozialak (EESS).</w:t>
      </w:r>
    </w:p>
    <w:p>
      <w:pPr>
        <w:pStyle w:val="Normal"/>
        <w:jc w:val="both"/>
        <w:rPr/>
      </w:pPr>
      <w:r>
        <w:rPr/>
        <w:t>Pasaian 135 pertsonek jasotzen dute EPO laguntza osagarria.  Gaztelagun programari dagokionez, Eusko Jaurlaritzak pasaitarren 164 espediente kudeatu ditu. Momentu honetan 69 espediente daude aktibo eta 32 itxi dira dagoeneko. Gainerako 63 espedienteei ez zaie oraindik dirulaguntzarik esleitu edo ez dagokie inongo prestaziorik. Eskatzaileen profilari dagokionez %63,4 (104 pertsona) emakumeak dira eta %57,3 (94 pertsona) 24-29 urte arteko multzoan dago.</w:t>
      </w:r>
    </w:p>
    <w:p>
      <w:pPr>
        <w:pStyle w:val="Normal"/>
        <w:jc w:val="both"/>
        <w:rPr/>
      </w:pPr>
      <w:r>
        <w:rPr/>
      </w:r>
    </w:p>
    <w:p>
      <w:pPr>
        <w:pStyle w:val="Ttulo2"/>
        <w:rPr/>
      </w:pPr>
      <w:bookmarkStart w:id="380" w:name="_Toc191031073"/>
      <w:bookmarkStart w:id="381" w:name="_Toc171936613"/>
      <w:r>
        <w:rPr/>
        <w:t>Tentsio eremu izendapenaren justifikazioa</w:t>
      </w:r>
      <w:bookmarkEnd w:id="380"/>
      <w:bookmarkEnd w:id="381"/>
    </w:p>
    <w:p>
      <w:pPr>
        <w:pStyle w:val="Ondorioa"/>
        <w:rPr/>
      </w:pPr>
      <w:r>
        <w:rPr/>
        <w:t>17 ondorioa:</w:t>
      </w:r>
    </w:p>
    <w:p>
      <w:pPr>
        <w:pStyle w:val="Normal"/>
        <w:jc w:val="both"/>
        <w:rPr/>
      </w:pPr>
      <w:r>
        <w:rPr/>
        <w:t>Datu demografikoek, sozioekonomikoek eta etxebizitzaren erabilera datuek aditzera ematen dute Pasaiako etxebizitza parkea azken urteetan presio handia jasaten ari dela. Etxebizitza eskaria oso handia izan da, alokairuari dagokionez, bereziki.</w:t>
      </w:r>
    </w:p>
    <w:p>
      <w:pPr>
        <w:pStyle w:val="Normal"/>
        <w:jc w:val="both"/>
        <w:rPr/>
      </w:pPr>
      <w:r>
        <w:rPr/>
        <w:t>Udalerria bizitegi-merkatuko tentsio eremu izendatzeko irizpideei dagokionez, etxebizitza ordaintzeko egin beharreko ahalegin ekonomikoak udalerriak tentsio eremu izendatzeko baldintzetako bat ez du betetzen, alokairu-errentari dagokiona, hain zuzen. Distrituetako alokairu errentaren igoerak (Antxo %16,4, Trintxerpe %13,9 eta San Pedro %12,2) ez du KPIren igoera (%14,0) behar den mailan gainditzen tentsio eremu izendapena egiteko baliatu den epealdian (2017-2022). Halabaina, azken urteak ere aintzat hartuko balira (2017-2023), hazkundeak hiru puntu baino gehiagotan gainduko luke epealdi berdineko KPIaren igoera (tentsio eremu izendatzeko lehen irizpidea betez).</w:t>
      </w:r>
    </w:p>
    <w:p>
      <w:pPr>
        <w:pStyle w:val="Normal"/>
        <w:jc w:val="both"/>
        <w:rPr/>
      </w:pPr>
      <w:r>
        <w:rPr/>
        <w:t>Betetzen du, ordea, bigarrena. Izan ere, 2021ean Pasaiako alokairu-errentaren batez besteko prezioa 699,5€ izan zen, urteko 8.394€ko gastua, alegia. Bestalde, urte berean etxebizitza baten oinarrizko hornidura gastuek hilabetean 259,2€ko kostua izan zuten, 3.110,3€ urtean. Horiek horrela, eskuragarri dauden azken datuen eta zehaztutako metodologiaren arabera, Pasaiak tentsio eremu izendatzeko bigarren irizpidea betetzen du bere barruti guztietan. 2021 urtean alokairu-errenta eta hornidura gastuei aurre egiteko batez besteko urteko kostua 11.653,1€ izan ziren, familia-errenta erabilgarriaren (32.440€) %35,9 alegia. Barruti bakoitzean familia bakoitzak alokairuari aurre egiteko egiten duen ahalegin ekonomikoa handia da: Antxo (%34,8), Donibane (%33,3), San Pedro (%34,1) eta Trintxerpe (%37,4). Egoera bereziki kritikoa da Trintxerpen.</w:t>
      </w:r>
    </w:p>
    <w:p>
      <w:pPr>
        <w:pStyle w:val="Normal"/>
        <w:jc w:val="both"/>
        <w:rPr/>
      </w:pPr>
      <w:r>
        <w:rPr/>
        <w:t>Nolanahi ere, datu horiek familia eredu tradizionalak bizi duen tentsioa bakarrik islatzen dute. Emakumeak familia-errentaren hartzaile nagusiak diren kasuetan, esaterako, etxebizitza ordaintzera bideratu beharreko gastua %42,2koa litzateke eta pertsona bat bakarrik bizi den kasuetan %71,4 bataz beste.</w:t>
      </w:r>
    </w:p>
    <w:p>
      <w:pPr>
        <w:pStyle w:val="Normal"/>
        <w:rPr/>
      </w:pPr>
      <w:r>
        <w:rPr/>
      </w:r>
    </w:p>
    <w:p>
      <w:pPr>
        <w:pStyle w:val="Normal"/>
        <w:rPr/>
      </w:pPr>
      <w:r>
        <w:rPr/>
      </w:r>
    </w:p>
    <w:p>
      <w:pPr>
        <w:pStyle w:val="Normal"/>
        <w:rPr/>
      </w:pPr>
      <w:r>
        <w:rPr/>
      </w:r>
    </w:p>
    <w:p>
      <w:pPr>
        <w:pStyle w:val="Normal"/>
        <w:jc w:val="right"/>
        <w:rPr/>
      </w:pPr>
      <w:r>
        <w:rPr/>
      </w:r>
    </w:p>
    <w:p>
      <w:pPr>
        <w:pStyle w:val="Normal"/>
        <w:jc w:val="right"/>
        <w:rPr/>
      </w:pPr>
      <w:r>
        <w:rPr/>
      </w:r>
    </w:p>
    <w:p>
      <w:pPr>
        <w:pStyle w:val="Normal"/>
        <w:rPr/>
      </w:pPr>
      <w:r>
        <w:rPr/>
      </w:r>
      <w:r>
        <w:br w:type="page"/>
      </w:r>
    </w:p>
    <w:sdt>
      <w:sdtPr>
        <w:docPartObj>
          <w:docPartGallery w:val="Bibliographies"/>
          <w:docPartUnique w:val="true"/>
        </w:docPartObj>
      </w:sdtPr>
      <w:sdtContent>
        <w:p>
          <w:pPr>
            <w:pStyle w:val="Ttulo1"/>
            <w:rPr/>
          </w:pPr>
          <w:bookmarkStart w:id="382" w:name="_Toc191031074"/>
          <w:r>
            <w:rPr/>
            <w:t>Erreferentziak</w:t>
          </w:r>
          <w:bookmarkEnd w:id="382"/>
        </w:p>
        <w:p>
          <w:pPr>
            <w:pStyle w:val="Bibliography"/>
            <w:ind w:left="720" w:hanging="720"/>
            <w:rPr>
              <w:kern w:val="0"/>
              <w:sz w:val="24"/>
              <w:szCs w:val="24"/>
              <w14:ligatures w14:val="none"/>
            </w:rPr>
          </w:pPr>
          <w:r>
            <w:fldChar w:fldCharType="begin"/>
          </w:r>
          <w:r>
            <w:rPr/>
            <w:instrText xml:space="preserve"> BIBLIOGRAPHY </w:instrText>
          </w:r>
          <w:r>
            <w:rPr/>
            <w:fldChar w:fldCharType="separate"/>
          </w:r>
          <w:r>
            <w:rPr/>
            <w:t xml:space="preserve">BOE. (2023). </w:t>
          </w:r>
          <w:r>
            <w:rPr>
              <w:i/>
              <w:iCs/>
            </w:rPr>
            <w:t>Ley 12/2023, de 24 de mayo, por el derecho a la vivienda.</w:t>
          </w:r>
          <w:r>
            <w:rPr/>
            <w:t xml:space="preserve"> </w:t>
          </w:r>
        </w:p>
        <w:p>
          <w:pPr>
            <w:pStyle w:val="Bibliography"/>
            <w:ind w:left="720" w:hanging="720"/>
            <w:rPr/>
          </w:pPr>
          <w:r>
            <w:rPr/>
            <w:t xml:space="preserve">Etxebizitzaren Euskal Behatokia. (2023). </w:t>
          </w:r>
          <w:r>
            <w:rPr>
              <w:i/>
              <w:iCs/>
            </w:rPr>
            <w:t>Etxebizitza hutsak Espainian: EINen ikerketa berria eta beste erreferentzia estatistiko batzuekin egindako alderaketa.</w:t>
          </w:r>
          <w:r>
            <w:rPr/>
            <w:t xml:space="preserve"> </w:t>
          </w:r>
        </w:p>
        <w:p>
          <w:pPr>
            <w:pStyle w:val="Bibliography"/>
            <w:ind w:left="720" w:hanging="720"/>
            <w:rPr/>
          </w:pPr>
          <w:r>
            <w:rPr/>
            <w:t xml:space="preserve">Etxebizitzaren Euskal Behatokia. (2023). </w:t>
          </w:r>
          <w:r>
            <w:rPr>
              <w:i/>
              <w:iCs/>
            </w:rPr>
            <w:t>Euskadiko tentsio eremuei buruzko txostena.</w:t>
          </w:r>
          <w:r>
            <w:rPr/>
            <w:t xml:space="preserve"> </w:t>
          </w:r>
        </w:p>
        <w:p>
          <w:pPr>
            <w:pStyle w:val="Bibliography"/>
            <w:ind w:left="720" w:hanging="720"/>
            <w:rPr/>
          </w:pPr>
          <w:r>
            <w:rPr/>
            <w:t xml:space="preserve">Etxebizitzaren Euskal Behatokia. (2024). </w:t>
          </w:r>
          <w:r>
            <w:rPr>
              <w:i/>
              <w:iCs/>
            </w:rPr>
            <w:t>Bizitegi merkatuko tentsio eremuen izendapenerako diagnostikoa eta ekintza plana prestatzeko eredua.</w:t>
          </w:r>
          <w:r>
            <w:rPr/>
            <w:t xml:space="preserve"> </w:t>
          </w:r>
        </w:p>
        <w:p>
          <w:pPr>
            <w:pStyle w:val="Bibliography"/>
            <w:ind w:left="720" w:hanging="720"/>
            <w:rPr/>
          </w:pPr>
          <w:r>
            <w:rPr/>
            <w:t xml:space="preserve">Etxebizitzaren Euskal Behatokia. (2024). </w:t>
          </w:r>
          <w:r>
            <w:rPr>
              <w:i/>
              <w:iCs/>
            </w:rPr>
            <w:t>Euskadiko tentsio eremuei buruzko txostena.</w:t>
          </w:r>
          <w:r>
            <w:rPr/>
            <w:t xml:space="preserve"> </w:t>
          </w:r>
        </w:p>
        <w:p>
          <w:pPr>
            <w:pStyle w:val="Bibliography"/>
            <w:ind w:left="720" w:hanging="720"/>
            <w:rPr/>
          </w:pPr>
          <w:r>
            <w:rPr/>
            <w:t xml:space="preserve">Eusko Jaurlaritza. (2021). </w:t>
          </w:r>
          <w:r>
            <w:rPr>
              <w:i/>
              <w:iCs/>
            </w:rPr>
            <w:t>149/2021 Dekretua, ekainaren 8koa, jenderik gabeko etxebizitzei eta etxebizitzaren funtzio soziala betetzeko neurriei buruzkoa.</w:t>
          </w:r>
          <w:r>
            <w:rPr/>
            <w:t xml:space="preserve"> </w:t>
          </w:r>
        </w:p>
        <w:p>
          <w:pPr>
            <w:pStyle w:val="Normal"/>
            <w:rPr/>
          </w:pPr>
          <w:r>
            <w:rPr/>
          </w:r>
          <w:r>
            <w:rPr/>
            <w:fldChar w:fldCharType="end"/>
          </w:r>
        </w:p>
      </w:sdtContent>
    </w:sdt>
    <w:p>
      <w:pPr>
        <w:pStyle w:val="Normal"/>
        <w:rPr/>
      </w:pPr>
      <w:r>
        <w:rPr/>
      </w:r>
    </w:p>
    <w:p>
      <w:pPr>
        <w:pStyle w:val="Normal"/>
        <w:rPr/>
      </w:pPr>
      <w:r>
        <w:rPr/>
      </w:r>
      <w:r>
        <w:br w:type="page"/>
      </w:r>
    </w:p>
    <w:p>
      <w:pPr>
        <w:pStyle w:val="Normal"/>
        <w:spacing w:before="0" w:after="160"/>
        <w:jc w:val="right"/>
        <w:rPr/>
      </w:pPr>
      <w:r>
        <w:rPr/>
        <w:drawing>
          <wp:anchor behindDoc="0" distT="0" distB="0" distL="0" distR="0" simplePos="0" locked="0" layoutInCell="1" allowOverlap="1" relativeHeight="177">
            <wp:simplePos x="0" y="0"/>
            <wp:positionH relativeFrom="column">
              <wp:posOffset>-1194435</wp:posOffset>
            </wp:positionH>
            <wp:positionV relativeFrom="page">
              <wp:posOffset>-133350</wp:posOffset>
            </wp:positionV>
            <wp:extent cx="7772400" cy="10979785"/>
            <wp:effectExtent l="0" t="0" r="0" b="0"/>
            <wp:wrapNone/>
            <wp:docPr id="79" name="Imagen65" descr="Hau duen irudia pantaila-argazkia, Kolore, testua, m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65" descr="Hau duen irudia pantaila-argazkia, Kolore, testua, morea"/>
                    <pic:cNvPicPr>
                      <a:picLocks noChangeAspect="1" noChangeArrowheads="1"/>
                    </pic:cNvPicPr>
                  </pic:nvPicPr>
                  <pic:blipFill>
                    <a:blip r:embed="rId80"/>
                    <a:stretch>
                      <a:fillRect/>
                    </a:stretch>
                  </pic:blipFill>
                  <pic:spPr bwMode="auto">
                    <a:xfrm>
                      <a:off x="0" y="0"/>
                      <a:ext cx="7772400" cy="10979785"/>
                    </a:xfrm>
                    <a:prstGeom prst="rect">
                      <a:avLst/>
                    </a:prstGeom>
                  </pic:spPr>
                </pic:pic>
              </a:graphicData>
            </a:graphic>
          </wp:anchor>
        </w:drawing>
      </w:r>
    </w:p>
    <w:sectPr>
      <w:headerReference w:type="default" r:id="rId81"/>
      <w:footerReference w:type="default" r:id="rId82"/>
      <w:footnotePr>
        <w:numFmt w:val="decimal"/>
      </w:footnotePr>
      <w:type w:val="nextPage"/>
      <w:pgSz w:w="11906" w:h="16838"/>
      <w:pgMar w:left="1701" w:right="1701" w:gutter="0" w:header="283" w:top="1417" w:footer="283" w:bottom="1417"/>
      <w:pgNumType w:fmt="decimal"/>
      <w:formProt w:val="false"/>
      <w:titlePg/>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Montserrat">
    <w:charset w:val="00"/>
    <w:family w:val="roman"/>
    <w:pitch w:val="variable"/>
  </w:font>
  <w:font w:name="Liberation Sans">
    <w:altName w:val="Arial"/>
    <w:charset w:val="00"/>
    <w:family w:val="swiss"/>
    <w:pitch w:val="variable"/>
  </w:font>
  <w:font w:name="Aptos Narrow">
    <w:charset w:val="00"/>
    <w:family w:val="roman"/>
    <w:pitch w:val="variable"/>
  </w:font>
  <w:font w:name="Montserrat Alternates">
    <w:charset w:val="00"/>
    <w:family w:val="roman"/>
    <w:pitch w:val="variable"/>
  </w:font>
  <w:font w:name="Calibri Light">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rFonts w:ascii="Montserrat Alternates" w:hAnsi="Montserrat Alternates"/>
        <w:sz w:val="16"/>
        <w:szCs w:val="16"/>
      </w:rPr>
    </w:pPr>
    <w:r>
      <mc:AlternateContent>
        <mc:Choice Requires="wps">
          <w:drawing>
            <wp:anchor behindDoc="1" distT="38100" distB="38100" distL="0" distR="38100" simplePos="0" locked="0" layoutInCell="1" allowOverlap="1" relativeHeight="371" wp14:anchorId="1BBF27D0">
              <wp:simplePos x="0" y="0"/>
              <wp:positionH relativeFrom="column">
                <wp:posOffset>-1118235</wp:posOffset>
              </wp:positionH>
              <wp:positionV relativeFrom="paragraph">
                <wp:posOffset>-40005</wp:posOffset>
              </wp:positionV>
              <wp:extent cx="6629400" cy="635"/>
              <wp:effectExtent l="0" t="38100" r="635" b="38100"/>
              <wp:wrapNone/>
              <wp:docPr id="82" name="Lotura-marra zuzena 4"/>
              <a:graphic xmlns:a="http://schemas.openxmlformats.org/drawingml/2006/main">
                <a:graphicData uri="http://schemas.microsoft.com/office/word/2010/wordprocessingShape">
                  <wps:wsp>
                    <wps:cNvSpPr/>
                    <wps:spPr>
                      <a:xfrm>
                        <a:off x="0" y="0"/>
                        <a:ext cx="6629400" cy="720"/>
                      </a:xfrm>
                      <a:prstGeom prst="line">
                        <a:avLst/>
                      </a:prstGeom>
                      <a:ln w="76200">
                        <a:solidFill>
                          <a:srgbClr val="000000"/>
                        </a:solidFil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88.05pt,-3.15pt" to="433.9pt,-3.15pt" ID="Lotura-marra zuzena 4" stroked="t" o:allowincell="f" style="position:absolute" wp14:anchorId="1BBF27D0">
              <v:stroke color="black" weight="76320" joinstyle="miter" endcap="flat"/>
              <v:fill o:detectmouseclick="t" on="false"/>
              <w10:wrap type="none"/>
            </v:line>
          </w:pict>
        </mc:Fallback>
      </mc:AlternateContent>
      <w:drawing>
        <wp:anchor behindDoc="1" distT="0" distB="0" distL="0" distR="0" simplePos="0" locked="0" layoutInCell="1" allowOverlap="1" relativeHeight="468">
          <wp:simplePos x="0" y="0"/>
          <wp:positionH relativeFrom="column">
            <wp:posOffset>4591050</wp:posOffset>
          </wp:positionH>
          <wp:positionV relativeFrom="page">
            <wp:posOffset>10291445</wp:posOffset>
          </wp:positionV>
          <wp:extent cx="850265" cy="285750"/>
          <wp:effectExtent l="0" t="0" r="0" b="0"/>
          <wp:wrapNone/>
          <wp:docPr id="83" name="Imagen67" descr="Hau duen irudia pantaila-argazkia, Grafikoak, Urdin elektriko, logotipoa&#10;&#10;Azalpena automatikoki sortu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67" descr="Hau duen irudia pantaila-argazkia, Grafikoak, Urdin elektriko, logotipoa&#10;&#10;Azalpena automatikoki sortu da"/>
                  <pic:cNvPicPr>
                    <a:picLocks noChangeAspect="1" noChangeArrowheads="1"/>
                  </pic:cNvPicPr>
                </pic:nvPicPr>
                <pic:blipFill>
                  <a:blip r:embed="rId1"/>
                  <a:stretch>
                    <a:fillRect/>
                  </a:stretch>
                </pic:blipFill>
                <pic:spPr bwMode="auto">
                  <a:xfrm>
                    <a:off x="0" y="0"/>
                    <a:ext cx="850265" cy="285750"/>
                  </a:xfrm>
                  <a:prstGeom prst="rect">
                    <a:avLst/>
                  </a:prstGeom>
                </pic:spPr>
              </pic:pic>
            </a:graphicData>
          </a:graphic>
        </wp:anchor>
      </w:drawing>
      <mc:AlternateContent>
        <mc:Choice Requires="wps">
          <w:drawing>
            <wp:anchor behindDoc="1" distT="0" distB="4445" distL="0" distR="1905" simplePos="0" locked="0" layoutInCell="0" allowOverlap="1" relativeHeight="661" wp14:anchorId="028BD281">
              <wp:simplePos x="0" y="0"/>
              <wp:positionH relativeFrom="rightMargin">
                <wp:posOffset>603250</wp:posOffset>
              </wp:positionH>
              <wp:positionV relativeFrom="margin">
                <wp:posOffset>4879975</wp:posOffset>
              </wp:positionV>
              <wp:extent cx="821690" cy="226060"/>
              <wp:effectExtent l="0" t="0" r="0" b="0"/>
              <wp:wrapNone/>
              <wp:docPr id="84" name="Laukizuzena 1"/>
              <a:graphic xmlns:a="http://schemas.openxmlformats.org/drawingml/2006/main">
                <a:graphicData uri="http://schemas.microsoft.com/office/word/2010/wordprocessingShape">
                  <wps:wsp>
                    <wps:cNvSpPr/>
                    <wps:spPr>
                      <a:xfrm>
                        <a:off x="0" y="0"/>
                        <a:ext cx="821520" cy="226080"/>
                      </a:xfrm>
                      <a:prstGeom prst="rect">
                        <a:avLst/>
                      </a:prstGeom>
                      <a:solidFill>
                        <a:srgbClr val="ffffff"/>
                      </a:solidFill>
                      <a:ln w="0">
                        <a:noFill/>
                      </a:ln>
                    </wps:spPr>
                    <wps:style>
                      <a:lnRef idx="0"/>
                      <a:fillRef idx="0"/>
                      <a:effectRef idx="0"/>
                      <a:fontRef idx="minor"/>
                    </wps:style>
                    <wps:txbx>
                      <w:txbxContent>
                        <w:p>
                          <w:pPr>
                            <w:pStyle w:val="Contenidodelmarco"/>
                            <w:pBdr>
                              <w:top w:val="single" w:sz="4" w:space="1" w:color="D8D8D8"/>
                            </w:pBdr>
                            <w:spacing w:before="0" w:after="160"/>
                            <w:rPr>
                              <w:rFonts w:ascii="Montserrat" w:hAnsi="Montserrat"/>
                              <w:b/>
                              <w:bCs/>
                              <w:sz w:val="16"/>
                              <w:szCs w:val="16"/>
                            </w:rPr>
                          </w:pPr>
                          <w:r>
                            <w:rPr>
                              <w:rFonts w:ascii="Montserrat" w:hAnsi="Montserrat"/>
                              <w:b/>
                              <w:bCs/>
                              <w:sz w:val="16"/>
                              <w:szCs w:val="16"/>
                            </w:rPr>
                            <w:t xml:space="preserve">| </w:t>
                          </w:r>
                          <w:r>
                            <w:rPr>
                              <w:rFonts w:ascii="Montserrat" w:hAnsi="Montserrat"/>
                              <w:b/>
                              <w:bCs/>
                              <w:sz w:val="16"/>
                              <w:szCs w:val="16"/>
                            </w:rPr>
                            <w:fldChar w:fldCharType="begin"/>
                          </w:r>
                          <w:r>
                            <w:rPr>
                              <w:sz w:val="16"/>
                              <w:b/>
                              <w:szCs w:val="16"/>
                              <w:bCs/>
                              <w:rFonts w:ascii="Montserrat" w:hAnsi="Montserrat"/>
                            </w:rPr>
                            <w:instrText xml:space="preserve"> PAGE </w:instrText>
                          </w:r>
                          <w:r>
                            <w:rPr>
                              <w:sz w:val="16"/>
                              <w:b/>
                              <w:szCs w:val="16"/>
                              <w:bCs/>
                              <w:rFonts w:ascii="Montserrat" w:hAnsi="Montserrat"/>
                            </w:rPr>
                            <w:fldChar w:fldCharType="separate"/>
                          </w:r>
                          <w:r>
                            <w:rPr>
                              <w:sz w:val="16"/>
                              <w:b/>
                              <w:szCs w:val="16"/>
                              <w:bCs/>
                              <w:rFonts w:ascii="Montserrat" w:hAnsi="Montserrat"/>
                            </w:rPr>
                            <w:t>98</w:t>
                          </w:r>
                          <w:r>
                            <w:rPr>
                              <w:sz w:val="16"/>
                              <w:b/>
                              <w:szCs w:val="16"/>
                              <w:bCs/>
                              <w:rFonts w:ascii="Montserrat" w:hAnsi="Montserrat"/>
                            </w:rPr>
                            <w:fldChar w:fldCharType="end"/>
                          </w:r>
                        </w:p>
                      </w:txbxContent>
                    </wps:txbx>
                    <wps:bodyPr lIns="0" rIns="0" anchor="t" upright="1">
                      <a:spAutoFit/>
                    </wps:bodyPr>
                  </wps:wsp>
                </a:graphicData>
              </a:graphic>
              <wp14:sizeRelH relativeFrom="rightMargin">
                <wp14:pctWidth>90000</wp14:pctWidth>
              </wp14:sizeRelH>
            </wp:anchor>
          </w:drawing>
        </mc:Choice>
        <mc:Fallback>
          <w:pict>
            <v:rect id="shape_0" ID="Laukizuzena 1" path="m0,0l-2147483645,0l-2147483645,-2147483646l0,-2147483646xe" fillcolor="white" stroked="f" o:allowincell="f" style="position:absolute;margin-left:47.5pt;margin-top:384.25pt;width:64.65pt;height:17.75pt;mso-wrap-style:square;v-text-anchor:top;mso-position-horizontal-relative:page;mso-position-vertical-relative:margin" wp14:anchorId="028BD281">
              <v:fill o:detectmouseclick="t" type="solid" color2="black"/>
              <v:stroke color="#3465a4" joinstyle="round" endcap="flat"/>
              <v:textbox>
                <w:txbxContent>
                  <w:p>
                    <w:pPr>
                      <w:pStyle w:val="Contenidodelmarco"/>
                      <w:pBdr>
                        <w:top w:val="single" w:sz="4" w:space="1" w:color="D8D8D8"/>
                      </w:pBdr>
                      <w:spacing w:before="0" w:after="160"/>
                      <w:rPr>
                        <w:rFonts w:ascii="Montserrat" w:hAnsi="Montserrat"/>
                        <w:b/>
                        <w:bCs/>
                        <w:sz w:val="16"/>
                        <w:szCs w:val="16"/>
                      </w:rPr>
                    </w:pPr>
                    <w:r>
                      <w:rPr>
                        <w:rFonts w:ascii="Montserrat" w:hAnsi="Montserrat"/>
                        <w:b/>
                        <w:bCs/>
                        <w:sz w:val="16"/>
                        <w:szCs w:val="16"/>
                      </w:rPr>
                      <w:t xml:space="preserve">| </w:t>
                    </w:r>
                    <w:r>
                      <w:rPr>
                        <w:rFonts w:ascii="Montserrat" w:hAnsi="Montserrat"/>
                        <w:b/>
                        <w:bCs/>
                        <w:sz w:val="16"/>
                        <w:szCs w:val="16"/>
                      </w:rPr>
                      <w:fldChar w:fldCharType="begin"/>
                    </w:r>
                    <w:r>
                      <w:rPr>
                        <w:sz w:val="16"/>
                        <w:b/>
                        <w:szCs w:val="16"/>
                        <w:bCs/>
                        <w:rFonts w:ascii="Montserrat" w:hAnsi="Montserrat"/>
                      </w:rPr>
                      <w:instrText xml:space="preserve"> PAGE </w:instrText>
                    </w:r>
                    <w:r>
                      <w:rPr>
                        <w:sz w:val="16"/>
                        <w:b/>
                        <w:szCs w:val="16"/>
                        <w:bCs/>
                        <w:rFonts w:ascii="Montserrat" w:hAnsi="Montserrat"/>
                      </w:rPr>
                      <w:fldChar w:fldCharType="separate"/>
                    </w:r>
                    <w:r>
                      <w:rPr>
                        <w:sz w:val="16"/>
                        <w:b/>
                        <w:szCs w:val="16"/>
                        <w:bCs/>
                        <w:rFonts w:ascii="Montserrat" w:hAnsi="Montserrat"/>
                      </w:rPr>
                      <w:t>98</w:t>
                    </w:r>
                    <w:r>
                      <w:rPr>
                        <w:sz w:val="16"/>
                        <w:b/>
                        <w:szCs w:val="16"/>
                        <w:bCs/>
                        <w:rFonts w:ascii="Montserrat" w:hAnsi="Montserrat"/>
                      </w:rPr>
                      <w:fldChar w:fldCharType="end"/>
                    </w:r>
                  </w:p>
                </w:txbxContent>
              </v:textbox>
              <w10:wrap type="none"/>
            </v:rect>
          </w:pict>
        </mc:Fallback>
      </mc:AlternateContent>
    </w:r>
    <w:r>
      <w:rPr>
        <w:rFonts w:ascii="Montserrat Alternates" w:hAnsi="Montserrat Alternates"/>
        <w:sz w:val="16"/>
        <w:szCs w:val="16"/>
      </w:rPr>
      <w:t xml:space="preserve">| Sustatzailea: Pasaiako Udala                                             </w:t>
    </w:r>
    <w:r>
      <w:rPr>
        <w:rFonts w:ascii="Montserrat Alternates" w:hAnsi="Montserrat Alternates"/>
        <w:color w:val="FFFFFF" w:themeColor="background1"/>
        <w:sz w:val="16"/>
        <w:szCs w:val="16"/>
      </w:rPr>
      <w:t xml:space="preserve">   | 2024ko maiatza                                </w:t>
    </w:r>
    <w:r>
      <w:rPr>
        <w:rFonts w:ascii="Montserrat Alternates" w:hAnsi="Montserrat Alternates"/>
        <w:sz w:val="16"/>
        <w:szCs w:val="16"/>
      </w:rPr>
      <w:t>| Egilea :</w:t>
    </w:r>
  </w:p>
  <w:p>
    <w:pPr>
      <w:pStyle w:val="Piedepgina"/>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Notaalpie"/>
        <w:rPr/>
      </w:pPr>
      <w:r>
        <w:rPr>
          <w:rStyle w:val="Caracteresdenotaalpie"/>
        </w:rPr>
        <w:footnoteRef/>
      </w:r>
      <w:r>
        <w:rPr/>
        <w:t xml:space="preserve"> </w:t>
      </w:r>
      <w:r>
        <w:rPr/>
        <w:t>Oarsoaldea, Donostialdea, Gipuzkoa eta EAEko datuak 2024 urtekoak dira.</w:t>
      </w:r>
    </w:p>
  </w:footnote>
  <w:footnote w:id="3">
    <w:p>
      <w:pPr>
        <w:pStyle w:val="Notaalpie"/>
        <w:rPr/>
      </w:pPr>
      <w:r>
        <w:rPr>
          <w:rStyle w:val="Caracteresdenotaalpie"/>
        </w:rPr>
        <w:footnoteRef/>
      </w:r>
      <w:r>
        <w:rPr/>
        <w:t xml:space="preserve"> </w:t>
      </w:r>
      <w:r>
        <w:rPr/>
        <w:t>2024ko datuak urtarriletik abendu hasierara bitartekoak dira.</w:t>
      </w:r>
    </w:p>
  </w:footnote>
  <w:footnote w:id="4">
    <w:p>
      <w:pPr>
        <w:pStyle w:val="Notaalpie"/>
        <w:rPr/>
      </w:pPr>
      <w:r>
        <w:rPr>
          <w:rStyle w:val="Caracteresdenotaalpie"/>
        </w:rPr>
        <w:footnoteRef/>
      </w:r>
      <w:r>
        <w:rPr/>
        <w:t xml:space="preserve"> </w:t>
      </w:r>
      <w:r>
        <w:rPr/>
        <w:t>2024ko datuak urtarriletik abendu hasierara bitartekoak dira.</w:t>
      </w:r>
    </w:p>
  </w:footnote>
  <w:footnote w:id="5">
    <w:p>
      <w:pPr>
        <w:pStyle w:val="Notaalpie"/>
        <w:rPr/>
      </w:pPr>
      <w:r>
        <w:rPr>
          <w:rStyle w:val="Caracteresdenotaalpie"/>
        </w:rPr>
        <w:footnoteRef/>
      </w:r>
      <w:r>
        <w:rPr/>
        <w:t xml:space="preserve"> </w:t>
      </w:r>
      <w:r>
        <w:rPr/>
        <w:t>2024ko datuak urtarriletik abendu hasierara bitartekoak dira.</w:t>
      </w:r>
    </w:p>
  </w:footnote>
  <w:footnote w:id="6">
    <w:p>
      <w:pPr>
        <w:pStyle w:val="Notaalpie"/>
        <w:rPr/>
      </w:pPr>
      <w:r>
        <w:rPr>
          <w:rStyle w:val="Caracteresdenotaalpie"/>
        </w:rPr>
        <w:footnoteRef/>
      </w:r>
      <w:r>
        <w:rPr/>
        <w:t xml:space="preserve"> </w:t>
      </w:r>
      <w:r>
        <w:rPr/>
        <w:t>2024ko datuak urtarriletik abendu hasierara bitartekoak dira.</w:t>
      </w:r>
    </w:p>
  </w:footnote>
  <w:footnote w:id="7">
    <w:p>
      <w:pPr>
        <w:pStyle w:val="Notaalpie"/>
        <w:rPr/>
      </w:pPr>
      <w:r>
        <w:rPr>
          <w:rStyle w:val="Caracteresdenotaalpie"/>
        </w:rPr>
        <w:footnoteRef/>
      </w:r>
      <w:r>
        <w:rPr/>
        <w:t xml:space="preserve"> </w:t>
      </w:r>
      <w:r>
        <w:rPr/>
        <w:t>2024ko datuak urtarriletik abendu hasierara bitartekoak dira.</w:t>
      </w:r>
    </w:p>
  </w:footnote>
  <w:footnote w:id="8">
    <w:p>
      <w:pPr>
        <w:pStyle w:val="Notaalpie"/>
        <w:rPr/>
      </w:pPr>
      <w:r>
        <w:rPr>
          <w:rStyle w:val="Caracteresdenotaalpie"/>
        </w:rPr>
        <w:footnoteRef/>
      </w:r>
      <w:r>
        <w:rPr/>
        <w:t xml:space="preserve"> </w:t>
      </w:r>
      <w:r>
        <w:rPr/>
        <w:t>2024ko datuak urtarriletik abendu hasierara bitartekoak dira.</w:t>
      </w:r>
    </w:p>
  </w:footnote>
  <w:footnote w:id="9">
    <w:p>
      <w:pPr>
        <w:pStyle w:val="Notaalpie"/>
        <w:rPr/>
      </w:pPr>
      <w:r>
        <w:rPr>
          <w:rStyle w:val="Caracteresdenotaalpie"/>
        </w:rPr>
        <w:footnoteRef/>
      </w:r>
      <w:r>
        <w:rPr/>
        <w:t xml:space="preserve"> </w:t>
      </w:r>
      <w:r>
        <w:rPr/>
        <w:t>2024ko datuak urtarriletik abendu hasierara bitartekoak dira.</w:t>
      </w:r>
    </w:p>
  </w:footnote>
  <w:footnote w:id="10">
    <w:p>
      <w:pPr>
        <w:pStyle w:val="Notaalpie"/>
        <w:rPr/>
      </w:pPr>
      <w:r>
        <w:rPr>
          <w:rStyle w:val="Caracteresdenotaalpie"/>
        </w:rPr>
        <w:footnoteRef/>
      </w:r>
      <w:r>
        <w:rPr/>
        <w:t xml:space="preserve"> </w:t>
      </w:r>
      <w:r>
        <w:rPr/>
        <w:t>Establezimendu kolektiboak ez dira aintzat hartzen.</w:t>
      </w:r>
    </w:p>
  </w:footnote>
  <w:footnote w:id="11">
    <w:p>
      <w:pPr>
        <w:pStyle w:val="Notaalpie"/>
        <w:rPr/>
      </w:pPr>
      <w:r>
        <w:rPr>
          <w:rStyle w:val="Caracteresdenotaalpie"/>
        </w:rPr>
        <w:footnoteRef/>
      </w:r>
      <w:r>
        <w:rPr/>
        <w:t xml:space="preserve">   </w:t>
      </w:r>
      <w:r>
        <w:rPr/>
        <w:t>Sekretu estatistikoagatik kopuru txikiak ez dira taulan ageri.</w:t>
      </w:r>
    </w:p>
  </w:footnote>
  <w:footnote w:id="12">
    <w:p>
      <w:pPr>
        <w:pStyle w:val="Notaalpie"/>
        <w:rPr/>
      </w:pPr>
      <w:r>
        <w:rPr>
          <w:rStyle w:val="Caracteresdenotaalpie"/>
        </w:rPr>
        <w:footnoteRef/>
      </w:r>
      <w:r>
        <w:rPr/>
        <w:t xml:space="preserve">   </w:t>
      </w:r>
      <w:r>
        <w:rPr/>
        <w:t>Sekretu estatistikoagatik kopuru txikiak ez dira taulan ageri.</w:t>
      </w:r>
    </w:p>
  </w:footnote>
  <w:footnote w:id="13">
    <w:p>
      <w:pPr>
        <w:pStyle w:val="Notaalpie"/>
        <w:rPr/>
      </w:pPr>
      <w:r>
        <w:rPr>
          <w:rStyle w:val="Caracteresdenotaalpie"/>
        </w:rPr>
        <w:footnoteRef/>
      </w:r>
      <w:r>
        <w:rPr/>
        <w:t xml:space="preserve"> </w:t>
      </w:r>
      <w:r>
        <w:rPr/>
        <w:t>2024ko datua hirugarren hiruhilekora bitartekoak dira.</w:t>
      </w:r>
    </w:p>
  </w:footnote>
  <w:footnote w:id="14">
    <w:p>
      <w:pPr>
        <w:pStyle w:val="Notaalpie"/>
        <w:rPr/>
      </w:pPr>
      <w:r>
        <w:rPr>
          <w:rStyle w:val="Caracteresdenotaalpie"/>
        </w:rPr>
        <w:footnoteRef/>
      </w:r>
      <w:r>
        <w:rPr/>
        <w:t xml:space="preserve"> </w:t>
      </w:r>
      <w:r>
        <w:rPr/>
        <w:t>2024ko datua hirugarren hiruhilekora bitartekoak dira.</w:t>
      </w:r>
    </w:p>
  </w:footnote>
  <w:footnote w:id="15">
    <w:p>
      <w:pPr>
        <w:pStyle w:val="Notaalpie"/>
        <w:rPr/>
      </w:pPr>
      <w:r>
        <w:rPr>
          <w:rStyle w:val="Caracteresdenotaalpie"/>
        </w:rPr>
        <w:footnoteRef/>
      </w:r>
      <w:r>
        <w:rPr/>
        <w:t xml:space="preserve"> </w:t>
      </w:r>
      <w:r>
        <w:rPr/>
        <w:t>2024ko datua hirugarren hiruhilekora bitartekoak dira.</w:t>
      </w:r>
    </w:p>
  </w:footnote>
  <w:footnote w:id="16">
    <w:p>
      <w:pPr>
        <w:pStyle w:val="Default"/>
        <w:rPr/>
      </w:pPr>
      <w:r>
        <w:rPr>
          <w:rStyle w:val="Caracteresdenotaalpie"/>
        </w:rPr>
        <w:footnoteRef/>
      </w:r>
      <w:r>
        <w:rPr/>
        <w:t xml:space="preserve"> </w:t>
      </w:r>
      <w:r>
        <w:rPr>
          <w:sz w:val="20"/>
          <w:szCs w:val="20"/>
        </w:rPr>
        <w:t>Kontsumoko Prezioen Indize (KPI) orokorraren datuek 2021 urteko datua erreferentzia balio bezala erabiltzen dute. Unitatea: Oinarria 2021=100.</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Cabecera"/>
      <w:tabs>
        <w:tab w:val="left" w:pos="2655" w:leader="none"/>
        <w:tab w:val="center" w:pos="4252" w:leader="none"/>
        <w:tab w:val="right" w:pos="8504" w:leader="none"/>
      </w:tabs>
      <w:jc w:val="right"/>
      <w:rPr>
        <w:rFonts w:ascii="Montserrat Alternates" w:hAnsi="Montserrat Alternates"/>
        <w:sz w:val="18"/>
        <w:szCs w:val="18"/>
      </w:rPr>
    </w:pPr>
    <w:bookmarkStart w:id="383" w:name="_Hlk164056360"/>
    <w:bookmarkStart w:id="384" w:name="_Hlk164056359"/>
    <w:bookmarkStart w:id="385" w:name="_Hlk164056354"/>
    <w:bookmarkStart w:id="386" w:name="_Hlk164056353"/>
    <w:bookmarkStart w:id="387" w:name="_Hlk164056352"/>
    <w:bookmarkStart w:id="388" w:name="_Hlk164056351"/>
    <w:bookmarkStart w:id="389" w:name="_Hlk164056350"/>
    <w:bookmarkStart w:id="390" w:name="_Hlk164056349"/>
    <w:bookmarkStart w:id="391" w:name="_Hlk164056348"/>
    <w:bookmarkStart w:id="392" w:name="_Hlk164056347"/>
    <w:bookmarkStart w:id="393" w:name="_Hlk164056346"/>
    <w:bookmarkStart w:id="394" w:name="_Hlk164056345"/>
    <w:bookmarkStart w:id="395" w:name="_Hlk164056344"/>
    <w:bookmarkStart w:id="396" w:name="_Hlk164056343"/>
    <w:bookmarkStart w:id="397" w:name="_Hlk164056342"/>
    <w:bookmarkStart w:id="398" w:name="_Hlk164056341"/>
    <w:bookmarkStart w:id="399" w:name="_Hlk164056340"/>
    <w:bookmarkStart w:id="400" w:name="_Hlk164056339"/>
    <w:bookmarkStart w:id="401" w:name="_Hlk164056338"/>
    <w:bookmarkStart w:id="402" w:name="_Hlk164056337"/>
    <w:r>
      <w:drawing>
        <wp:anchor behindDoc="1" distT="0" distB="0" distL="0" distR="0" simplePos="0" locked="0" layoutInCell="1" allowOverlap="1" relativeHeight="274">
          <wp:simplePos x="0" y="0"/>
          <wp:positionH relativeFrom="column">
            <wp:posOffset>-946785</wp:posOffset>
          </wp:positionH>
          <wp:positionV relativeFrom="page">
            <wp:posOffset>95250</wp:posOffset>
          </wp:positionV>
          <wp:extent cx="859155" cy="606425"/>
          <wp:effectExtent l="0" t="0" r="0" b="0"/>
          <wp:wrapNone/>
          <wp:docPr id="80" name="Imagen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66" descr=""/>
                  <pic:cNvPicPr>
                    <a:picLocks noChangeAspect="1" noChangeArrowheads="1"/>
                  </pic:cNvPicPr>
                </pic:nvPicPr>
                <pic:blipFill>
                  <a:blip r:embed="rId1"/>
                  <a:stretch>
                    <a:fillRect/>
                  </a:stretch>
                </pic:blipFill>
                <pic:spPr bwMode="auto">
                  <a:xfrm>
                    <a:off x="0" y="0"/>
                    <a:ext cx="859155" cy="606425"/>
                  </a:xfrm>
                  <a:prstGeom prst="rect">
                    <a:avLst/>
                  </a:prstGeom>
                </pic:spPr>
              </pic:pic>
            </a:graphicData>
          </a:graphic>
        </wp:anchor>
      </w:drawing>
    </w:r>
    <w:r>
      <w:rPr>
        <w:rFonts w:ascii="Montserrat Alternates" w:hAnsi="Montserrat Alternates"/>
        <w:sz w:val="18"/>
        <w:szCs w:val="18"/>
      </w:rPr>
      <w:t xml:space="preserve">Tentsio eremuen izendapena: </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r>
      <w:rPr>
        <w:rFonts w:ascii="Montserrat Alternates" w:hAnsi="Montserrat Alternates"/>
        <w:sz w:val="18"/>
        <w:szCs w:val="18"/>
      </w:rPr>
      <w:t>diagnostikoa eta justifikazio-memoria</w:t>
    </w:r>
  </w:p>
  <w:p>
    <w:pPr>
      <w:pStyle w:val="Cabecera"/>
      <w:tabs>
        <w:tab w:val="left" w:pos="2655" w:leader="none"/>
        <w:tab w:val="center" w:pos="4252" w:leader="none"/>
        <w:tab w:val="right" w:pos="8504" w:leader="none"/>
      </w:tabs>
      <w:jc w:val="center"/>
      <w:rPr>
        <w:rFonts w:ascii="Montserrat Alternates" w:hAnsi="Montserrat Alternates"/>
        <w:sz w:val="18"/>
        <w:szCs w:val="18"/>
      </w:rPr>
    </w:pPr>
    <w:r>
      <w:rPr>
        <w:rFonts w:ascii="Montserrat Alternates" w:hAnsi="Montserrat Alternates"/>
        <w:sz w:val="18"/>
        <w:szCs w:val="18"/>
      </w:rPr>
      <mc:AlternateContent>
        <mc:Choice Requires="wps">
          <w:drawing>
            <wp:anchor behindDoc="1" distT="38100" distB="38100" distL="0" distR="38100" simplePos="0" locked="0" layoutInCell="1" allowOverlap="1" relativeHeight="176" wp14:anchorId="07C43336">
              <wp:simplePos x="0" y="0"/>
              <wp:positionH relativeFrom="column">
                <wp:posOffset>1440180</wp:posOffset>
              </wp:positionH>
              <wp:positionV relativeFrom="paragraph">
                <wp:posOffset>73660</wp:posOffset>
              </wp:positionV>
              <wp:extent cx="6381750" cy="635"/>
              <wp:effectExtent l="0" t="38100" r="635" b="38100"/>
              <wp:wrapNone/>
              <wp:docPr id="81" name="Lotura-marra zuzena 4"/>
              <a:graphic xmlns:a="http://schemas.openxmlformats.org/drawingml/2006/main">
                <a:graphicData uri="http://schemas.microsoft.com/office/word/2010/wordprocessingShape">
                  <wps:wsp>
                    <wps:cNvSpPr/>
                    <wps:spPr>
                      <a:xfrm>
                        <a:off x="0" y="0"/>
                        <a:ext cx="6381720" cy="720"/>
                      </a:xfrm>
                      <a:prstGeom prst="line">
                        <a:avLst/>
                      </a:prstGeom>
                      <a:ln w="76200">
                        <a:solidFill>
                          <a:srgbClr val="000000"/>
                        </a:solidFil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113.4pt,5.8pt" to="615.85pt,5.8pt" ID="Lotura-marra zuzena 4" stroked="t" o:allowincell="f" style="position:absolute" wp14:anchorId="07C43336">
              <v:stroke color="black" weight="76320" joinstyle="miter" endcap="flat"/>
              <v:fill o:detectmouseclick="t" on="false"/>
              <w10:wrap type="none"/>
            </v:line>
          </w:pict>
        </mc:Fallback>
      </mc:AlternateContent>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Ttulo1"/>
      <w:numFmt w:val="decimal"/>
      <w:lvlText w:val="%1"/>
      <w:lvlJc w:val="left"/>
      <w:pPr>
        <w:tabs>
          <w:tab w:val="num" w:pos="0"/>
        </w:tabs>
        <w:ind w:left="432" w:hanging="432"/>
      </w:pPr>
      <w:rPr/>
    </w:lvl>
    <w:lvl w:ilvl="1">
      <w:start w:val="1"/>
      <w:pStyle w:val="Ttulo2"/>
      <w:numFmt w:val="decimal"/>
      <w:lvlText w:val="%1.%2"/>
      <w:lvlJc w:val="left"/>
      <w:pPr>
        <w:tabs>
          <w:tab w:val="num" w:pos="0"/>
        </w:tabs>
        <w:ind w:left="576" w:hanging="576"/>
      </w:pPr>
      <w:rPr/>
    </w:lvl>
    <w:lvl w:ilvl="2">
      <w:start w:val="1"/>
      <w:pStyle w:val="Ttulo3"/>
      <w:numFmt w:val="decimal"/>
      <w:lvlText w:val="%1.%2.%3"/>
      <w:lvlJc w:val="left"/>
      <w:pPr>
        <w:tabs>
          <w:tab w:val="num" w:pos="0"/>
        </w:tabs>
        <w:ind w:left="720" w:hanging="720"/>
      </w:pPr>
      <w:rPr/>
    </w:lvl>
    <w:lvl w:ilvl="3">
      <w:start w:val="1"/>
      <w:pStyle w:val="Ttulo4"/>
      <w:numFmt w:val="decimal"/>
      <w:lvlText w:val="%1.%2.%3.%4"/>
      <w:lvlJc w:val="left"/>
      <w:pPr>
        <w:tabs>
          <w:tab w:val="num" w:pos="0"/>
        </w:tabs>
        <w:ind w:left="864" w:hanging="864"/>
      </w:pPr>
      <w:rPr/>
    </w:lvl>
    <w:lvl w:ilvl="4">
      <w:start w:val="1"/>
      <w:pStyle w:val="Ttulo5"/>
      <w:numFmt w:val="decimal"/>
      <w:lvlText w:val="%1.%2.%3.%4.%5"/>
      <w:lvlJc w:val="left"/>
      <w:pPr>
        <w:tabs>
          <w:tab w:val="num" w:pos="0"/>
        </w:tabs>
        <w:ind w:left="1008" w:hanging="1008"/>
      </w:pPr>
      <w:rPr/>
    </w:lvl>
    <w:lvl w:ilvl="5">
      <w:start w:val="1"/>
      <w:pStyle w:val="Ttulo6"/>
      <w:numFmt w:val="decimal"/>
      <w:lvlText w:val="%1.%2.%3.%4.%5.%6"/>
      <w:lvlJc w:val="left"/>
      <w:pPr>
        <w:tabs>
          <w:tab w:val="num" w:pos="0"/>
        </w:tabs>
        <w:ind w:left="1152" w:hanging="1152"/>
      </w:pPr>
      <w:rPr/>
    </w:lvl>
    <w:lvl w:ilvl="6">
      <w:start w:val="1"/>
      <w:pStyle w:val="Ttulo7"/>
      <w:numFmt w:val="decimal"/>
      <w:lvlText w:val="%1.%2.%3.%4.%5.%6.%7"/>
      <w:lvlJc w:val="left"/>
      <w:pPr>
        <w:tabs>
          <w:tab w:val="num" w:pos="0"/>
        </w:tabs>
        <w:ind w:left="1296" w:hanging="1296"/>
      </w:pPr>
      <w:rPr/>
    </w:lvl>
    <w:lvl w:ilvl="7">
      <w:start w:val="1"/>
      <w:pStyle w:val="Ttulo8"/>
      <w:numFmt w:val="decimal"/>
      <w:lvlText w:val="%1.%2.%3.%4.%5.%6.%7.%8"/>
      <w:lvlJc w:val="left"/>
      <w:pPr>
        <w:tabs>
          <w:tab w:val="num" w:pos="0"/>
        </w:tabs>
        <w:ind w:left="1440" w:hanging="1440"/>
      </w:pPr>
      <w:rPr/>
    </w:lvl>
    <w:lvl w:ilvl="8">
      <w:start w:val="1"/>
      <w:pStyle w:val="Ttulo9"/>
      <w:numFmt w:val="decimal"/>
      <w:lvlText w:val="%1.%2.%3.%4.%5.%6.%7.%8.%9"/>
      <w:lvlJc w:val="left"/>
      <w:pPr>
        <w:tabs>
          <w:tab w:val="num" w:pos="0"/>
        </w:tabs>
        <w:ind w:left="1584" w:hanging="1584"/>
      </w:pPr>
      <w:rPr/>
    </w:lvl>
  </w:abstractNum>
  <w:abstractNum w:abstractNumId="2">
    <w:lvl w:ilvl="0">
      <w:numFmt w:val="bullet"/>
      <w:lvlText w:val="-"/>
      <w:lvlJc w:val="left"/>
      <w:pPr>
        <w:tabs>
          <w:tab w:val="num" w:pos="0"/>
        </w:tabs>
        <w:ind w:left="720" w:hanging="360"/>
      </w:pPr>
      <w:rPr>
        <w:rFonts w:ascii="Calibri Light" w:hAnsi="Calibri Light" w:cs="Calibri Light" w:hint="default"/>
        <w:rFonts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
    <w:lvl w:ilvl="0">
      <w:numFmt w:val="bullet"/>
      <w:lvlText w:val="-"/>
      <w:lvlJc w:val="left"/>
      <w:pPr>
        <w:tabs>
          <w:tab w:val="num" w:pos="0"/>
        </w:tabs>
        <w:ind w:left="720" w:hanging="360"/>
      </w:pPr>
      <w:rPr>
        <w:rFonts w:ascii="Calibri Light" w:hAnsi="Calibri Light" w:cs="Calibri Light" w:hint="default"/>
        <w:rFonts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4"/>
  </w:num>
  <w:num w:numId="6">
    <w:abstractNumId w:val="4"/>
  </w:num>
</w:numbering>
</file>

<file path=word/settings.xml><?xml version="1.0" encoding="utf-8"?>
<w:settings xmlns:w="http://schemas.openxmlformats.org/wordprocessingml/2006/main">
  <w:zoom w:percent="80"/>
  <w:defaultTabStop w:val="708"/>
  <w:autoHyphenation w:val="tru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u-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eu-ES"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0413c"/>
    <w:pPr>
      <w:widowControl/>
      <w:bidi w:val="0"/>
      <w:spacing w:lineRule="auto" w:line="259" w:before="0" w:after="160"/>
      <w:jc w:val="left"/>
    </w:pPr>
    <w:rPr>
      <w:rFonts w:ascii="Calibri Light" w:hAnsi="Calibri Light" w:cs="Calibri Light" w:asciiTheme="majorHAnsi" w:cstheme="majorHAnsi" w:hAnsiTheme="majorHAnsi" w:eastAsia="Calibri"/>
      <w:color w:val="auto"/>
      <w:kern w:val="2"/>
      <w:sz w:val="22"/>
      <w:szCs w:val="22"/>
      <w:lang w:val="eu-ES" w:eastAsia="en-US" w:bidi="ar-SA"/>
    </w:rPr>
  </w:style>
  <w:style w:type="paragraph" w:styleId="Ttulo1">
    <w:name w:val="Heading 1"/>
    <w:basedOn w:val="Normal"/>
    <w:next w:val="Normal"/>
    <w:link w:val="1izenburuaKar"/>
    <w:uiPriority w:val="9"/>
    <w:qFormat/>
    <w:rsid w:val="00db1ae2"/>
    <w:pPr>
      <w:keepNext w:val="true"/>
      <w:keepLines/>
      <w:numPr>
        <w:ilvl w:val="0"/>
        <w:numId w:val="1"/>
      </w:numPr>
      <w:pBdr>
        <w:bottom w:val="single" w:sz="4" w:space="1" w:color="000000"/>
      </w:pBdr>
      <w:spacing w:before="360" w:after="80"/>
      <w:outlineLvl w:val="0"/>
    </w:pPr>
    <w:rPr>
      <w:rFonts w:ascii="Montserrat" w:hAnsi="Montserrat" w:eastAsia="" w:cs="" w:cstheme="majorBidi" w:eastAsiaTheme="majorEastAsia"/>
      <w:b/>
      <w:bCs/>
      <w:sz w:val="40"/>
      <w:szCs w:val="40"/>
    </w:rPr>
  </w:style>
  <w:style w:type="paragraph" w:styleId="Ttulo2">
    <w:name w:val="Heading 2"/>
    <w:basedOn w:val="Normal"/>
    <w:next w:val="Normal"/>
    <w:link w:val="2izenburuaKar"/>
    <w:uiPriority w:val="9"/>
    <w:unhideWhenUsed/>
    <w:qFormat/>
    <w:rsid w:val="00db1ae2"/>
    <w:pPr>
      <w:keepNext w:val="true"/>
      <w:keepLines/>
      <w:numPr>
        <w:ilvl w:val="1"/>
        <w:numId w:val="1"/>
      </w:numPr>
      <w:spacing w:before="160" w:after="80"/>
      <w:outlineLvl w:val="1"/>
    </w:pPr>
    <w:rPr>
      <w:rFonts w:ascii="Montserrat" w:hAnsi="Montserrat" w:eastAsia="" w:cs="" w:cstheme="majorBidi" w:eastAsiaTheme="majorEastAsia"/>
      <w:b/>
      <w:bCs/>
      <w:sz w:val="28"/>
      <w:szCs w:val="28"/>
    </w:rPr>
  </w:style>
  <w:style w:type="paragraph" w:styleId="Ttulo3">
    <w:name w:val="Heading 3"/>
    <w:basedOn w:val="Normal"/>
    <w:next w:val="Normal"/>
    <w:link w:val="3izenburuaKar"/>
    <w:uiPriority w:val="9"/>
    <w:unhideWhenUsed/>
    <w:qFormat/>
    <w:rsid w:val="00102ac8"/>
    <w:pPr>
      <w:keepNext w:val="true"/>
      <w:keepLines/>
      <w:numPr>
        <w:ilvl w:val="2"/>
        <w:numId w:val="1"/>
      </w:numPr>
      <w:spacing w:before="160" w:after="80"/>
      <w:outlineLvl w:val="2"/>
    </w:pPr>
    <w:rPr>
      <w:rFonts w:ascii="Montserrat" w:hAnsi="Montserrat" w:eastAsia="" w:cs="" w:cstheme="majorBidi" w:eastAsiaTheme="majorEastAsia"/>
      <w:b/>
      <w:bCs/>
      <w:sz w:val="28"/>
      <w:szCs w:val="28"/>
    </w:rPr>
  </w:style>
  <w:style w:type="paragraph" w:styleId="Ttulo4">
    <w:name w:val="Heading 4"/>
    <w:basedOn w:val="Normal"/>
    <w:next w:val="Normal"/>
    <w:link w:val="4izenburuaKar"/>
    <w:uiPriority w:val="9"/>
    <w:semiHidden/>
    <w:unhideWhenUsed/>
    <w:qFormat/>
    <w:rsid w:val="009d275c"/>
    <w:pPr>
      <w:keepNext w:val="true"/>
      <w:keepLines/>
      <w:numPr>
        <w:ilvl w:val="3"/>
        <w:numId w:val="1"/>
      </w:numPr>
      <w:spacing w:before="80" w:after="40"/>
      <w:outlineLvl w:val="3"/>
    </w:pPr>
    <w:rPr>
      <w:rFonts w:eastAsia="" w:cs="" w:cstheme="majorBidi" w:eastAsiaTheme="majorEastAsia"/>
      <w:i/>
      <w:iCs/>
      <w:color w:val="2F5496" w:themeColor="accent1" w:themeShade="bf"/>
    </w:rPr>
  </w:style>
  <w:style w:type="paragraph" w:styleId="Ttulo5">
    <w:name w:val="Heading 5"/>
    <w:basedOn w:val="Normal"/>
    <w:next w:val="Normal"/>
    <w:link w:val="5izenburuaKar"/>
    <w:uiPriority w:val="9"/>
    <w:semiHidden/>
    <w:unhideWhenUsed/>
    <w:qFormat/>
    <w:rsid w:val="009d275c"/>
    <w:pPr>
      <w:keepNext w:val="true"/>
      <w:keepLines/>
      <w:numPr>
        <w:ilvl w:val="4"/>
        <w:numId w:val="1"/>
      </w:numPr>
      <w:tabs>
        <w:tab w:val="clear" w:pos="708"/>
        <w:tab w:val="left" w:pos="360" w:leader="none"/>
      </w:tabs>
      <w:spacing w:before="80" w:after="40"/>
      <w:ind w:left="0" w:hanging="0"/>
      <w:outlineLvl w:val="4"/>
    </w:pPr>
    <w:rPr>
      <w:rFonts w:eastAsia="" w:cs="" w:cstheme="majorBidi" w:eastAsiaTheme="majorEastAsia"/>
      <w:color w:val="2F5496" w:themeColor="accent1" w:themeShade="bf"/>
    </w:rPr>
  </w:style>
  <w:style w:type="paragraph" w:styleId="Ttulo6">
    <w:name w:val="Heading 6"/>
    <w:basedOn w:val="Normal"/>
    <w:next w:val="Normal"/>
    <w:link w:val="6izenburuaKar"/>
    <w:uiPriority w:val="9"/>
    <w:semiHidden/>
    <w:unhideWhenUsed/>
    <w:qFormat/>
    <w:rsid w:val="009d275c"/>
    <w:pPr>
      <w:keepNext w:val="true"/>
      <w:keepLines/>
      <w:numPr>
        <w:ilvl w:val="5"/>
        <w:numId w:val="1"/>
      </w:numPr>
      <w:tabs>
        <w:tab w:val="clear" w:pos="708"/>
        <w:tab w:val="left" w:pos="360" w:leader="none"/>
      </w:tabs>
      <w:spacing w:before="40" w:after="0"/>
      <w:ind w:left="0" w:hanging="0"/>
      <w:outlineLvl w:val="5"/>
    </w:pPr>
    <w:rPr>
      <w:rFonts w:eastAsia="" w:cs="" w:cstheme="majorBidi" w:eastAsiaTheme="majorEastAsia"/>
      <w:i/>
      <w:iCs/>
      <w:color w:val="595959" w:themeColor="text1" w:themeTint="a6"/>
    </w:rPr>
  </w:style>
  <w:style w:type="paragraph" w:styleId="Ttulo7">
    <w:name w:val="Heading 7"/>
    <w:basedOn w:val="Normal"/>
    <w:next w:val="Normal"/>
    <w:link w:val="7izenburuaKar"/>
    <w:uiPriority w:val="9"/>
    <w:semiHidden/>
    <w:unhideWhenUsed/>
    <w:qFormat/>
    <w:rsid w:val="009d275c"/>
    <w:pPr>
      <w:keepNext w:val="true"/>
      <w:keepLines/>
      <w:numPr>
        <w:ilvl w:val="6"/>
        <w:numId w:val="1"/>
      </w:numPr>
      <w:tabs>
        <w:tab w:val="clear" w:pos="708"/>
        <w:tab w:val="left" w:pos="360" w:leader="none"/>
      </w:tabs>
      <w:spacing w:before="40" w:after="0"/>
      <w:ind w:left="0" w:hanging="0"/>
      <w:outlineLvl w:val="6"/>
    </w:pPr>
    <w:rPr>
      <w:rFonts w:eastAsia="" w:cs="" w:cstheme="majorBidi" w:eastAsiaTheme="majorEastAsia"/>
      <w:color w:val="595959" w:themeColor="text1" w:themeTint="a6"/>
    </w:rPr>
  </w:style>
  <w:style w:type="paragraph" w:styleId="Ttulo8">
    <w:name w:val="Heading 8"/>
    <w:basedOn w:val="Normal"/>
    <w:next w:val="Normal"/>
    <w:link w:val="8izenburuaKar"/>
    <w:uiPriority w:val="9"/>
    <w:semiHidden/>
    <w:unhideWhenUsed/>
    <w:qFormat/>
    <w:rsid w:val="009d275c"/>
    <w:pPr>
      <w:keepNext w:val="true"/>
      <w:keepLines/>
      <w:numPr>
        <w:ilvl w:val="7"/>
        <w:numId w:val="1"/>
      </w:numPr>
      <w:tabs>
        <w:tab w:val="clear" w:pos="708"/>
        <w:tab w:val="left" w:pos="360" w:leader="none"/>
      </w:tabs>
      <w:spacing w:before="0" w:after="0"/>
      <w:ind w:left="0" w:hanging="0"/>
      <w:outlineLvl w:val="7"/>
    </w:pPr>
    <w:rPr>
      <w:rFonts w:eastAsia="" w:cs="" w:cstheme="majorBidi" w:eastAsiaTheme="majorEastAsia"/>
      <w:i/>
      <w:iCs/>
      <w:color w:val="272727" w:themeColor="text1" w:themeTint="d8"/>
    </w:rPr>
  </w:style>
  <w:style w:type="paragraph" w:styleId="Ttulo9">
    <w:name w:val="Heading 9"/>
    <w:basedOn w:val="Normal"/>
    <w:next w:val="Normal"/>
    <w:link w:val="9izenburuaKar"/>
    <w:uiPriority w:val="9"/>
    <w:semiHidden/>
    <w:unhideWhenUsed/>
    <w:qFormat/>
    <w:rsid w:val="009d275c"/>
    <w:pPr>
      <w:keepNext w:val="true"/>
      <w:keepLines/>
      <w:numPr>
        <w:ilvl w:val="8"/>
        <w:numId w:val="1"/>
      </w:numPr>
      <w:tabs>
        <w:tab w:val="clear" w:pos="708"/>
        <w:tab w:val="left" w:pos="360" w:leader="none"/>
      </w:tabs>
      <w:spacing w:before="0" w:after="0"/>
      <w:ind w:left="0" w:hanging="0"/>
      <w:outlineLvl w:val="8"/>
    </w:pPr>
    <w:rPr>
      <w:rFonts w:eastAsia="" w:cs="" w:cstheme="majorBidi" w:eastAsiaTheme="majorEastAsia"/>
      <w:color w:val="272727" w:themeColor="text1" w:themeTint="d8"/>
    </w:rPr>
  </w:style>
  <w:style w:type="character" w:styleId="DefaultParagraphFont" w:default="1">
    <w:name w:val="Default Paragraph Font"/>
    <w:uiPriority w:val="1"/>
    <w:semiHidden/>
    <w:unhideWhenUsed/>
    <w:qFormat/>
    <w:rPr/>
  </w:style>
  <w:style w:type="character" w:styleId="1izenburuaKar" w:customStyle="1">
    <w:name w:val="1. izenburua Kar"/>
    <w:basedOn w:val="DefaultParagraphFont"/>
    <w:uiPriority w:val="9"/>
    <w:qFormat/>
    <w:rsid w:val="00db1ae2"/>
    <w:rPr>
      <w:rFonts w:ascii="Montserrat" w:hAnsi="Montserrat" w:eastAsia="" w:cs="" w:cstheme="majorBidi" w:eastAsiaTheme="majorEastAsia"/>
      <w:b/>
      <w:bCs/>
      <w:sz w:val="40"/>
      <w:szCs w:val="40"/>
    </w:rPr>
  </w:style>
  <w:style w:type="character" w:styleId="2izenburuaKar" w:customStyle="1">
    <w:name w:val="2. izenburua Kar"/>
    <w:basedOn w:val="DefaultParagraphFont"/>
    <w:uiPriority w:val="9"/>
    <w:qFormat/>
    <w:rsid w:val="00db1ae2"/>
    <w:rPr>
      <w:rFonts w:ascii="Montserrat" w:hAnsi="Montserrat" w:eastAsia="" w:cs="" w:cstheme="majorBidi" w:eastAsiaTheme="majorEastAsia"/>
      <w:b/>
      <w:bCs/>
      <w:sz w:val="28"/>
      <w:szCs w:val="28"/>
    </w:rPr>
  </w:style>
  <w:style w:type="character" w:styleId="3izenburuaKar" w:customStyle="1">
    <w:name w:val="3. izenburua Kar"/>
    <w:basedOn w:val="DefaultParagraphFont"/>
    <w:uiPriority w:val="9"/>
    <w:qFormat/>
    <w:rsid w:val="00102ac8"/>
    <w:rPr>
      <w:rFonts w:ascii="Montserrat" w:hAnsi="Montserrat" w:eastAsia="" w:cs="" w:cstheme="majorBidi" w:eastAsiaTheme="majorEastAsia"/>
      <w:b/>
      <w:bCs/>
      <w:sz w:val="28"/>
      <w:szCs w:val="28"/>
    </w:rPr>
  </w:style>
  <w:style w:type="character" w:styleId="4izenburuaKar" w:customStyle="1">
    <w:name w:val="4. izenburua Kar"/>
    <w:basedOn w:val="DefaultParagraphFont"/>
    <w:uiPriority w:val="9"/>
    <w:semiHidden/>
    <w:qFormat/>
    <w:rsid w:val="009d275c"/>
    <w:rPr>
      <w:rFonts w:eastAsia="" w:cs="" w:cstheme="majorBidi" w:eastAsiaTheme="majorEastAsia"/>
      <w:i/>
      <w:iCs/>
      <w:color w:val="2F5496" w:themeColor="accent1" w:themeShade="bf"/>
      <w:lang w:val="es-ES"/>
    </w:rPr>
  </w:style>
  <w:style w:type="character" w:styleId="5izenburuaKar" w:customStyle="1">
    <w:name w:val="5. izenburua Kar"/>
    <w:basedOn w:val="DefaultParagraphFont"/>
    <w:uiPriority w:val="9"/>
    <w:semiHidden/>
    <w:qFormat/>
    <w:rsid w:val="009d275c"/>
    <w:rPr>
      <w:rFonts w:eastAsia="" w:cs="" w:cstheme="majorBidi" w:eastAsiaTheme="majorEastAsia"/>
      <w:color w:val="2F5496" w:themeColor="accent1" w:themeShade="bf"/>
      <w:lang w:val="es-ES"/>
    </w:rPr>
  </w:style>
  <w:style w:type="character" w:styleId="6izenburuaKar" w:customStyle="1">
    <w:name w:val="6. izenburua Kar"/>
    <w:basedOn w:val="DefaultParagraphFont"/>
    <w:uiPriority w:val="9"/>
    <w:semiHidden/>
    <w:qFormat/>
    <w:rsid w:val="009d275c"/>
    <w:rPr>
      <w:rFonts w:eastAsia="" w:cs="" w:cstheme="majorBidi" w:eastAsiaTheme="majorEastAsia"/>
      <w:i/>
      <w:iCs/>
      <w:color w:val="595959" w:themeColor="text1" w:themeTint="a6"/>
      <w:lang w:val="es-ES"/>
    </w:rPr>
  </w:style>
  <w:style w:type="character" w:styleId="7izenburuaKar" w:customStyle="1">
    <w:name w:val="7. izenburua Kar"/>
    <w:basedOn w:val="DefaultParagraphFont"/>
    <w:uiPriority w:val="9"/>
    <w:semiHidden/>
    <w:qFormat/>
    <w:rsid w:val="009d275c"/>
    <w:rPr>
      <w:rFonts w:eastAsia="" w:cs="" w:cstheme="majorBidi" w:eastAsiaTheme="majorEastAsia"/>
      <w:color w:val="595959" w:themeColor="text1" w:themeTint="a6"/>
      <w:lang w:val="es-ES"/>
    </w:rPr>
  </w:style>
  <w:style w:type="character" w:styleId="8izenburuaKar" w:customStyle="1">
    <w:name w:val="8. izenburua Kar"/>
    <w:basedOn w:val="DefaultParagraphFont"/>
    <w:uiPriority w:val="9"/>
    <w:semiHidden/>
    <w:qFormat/>
    <w:rsid w:val="009d275c"/>
    <w:rPr>
      <w:rFonts w:eastAsia="" w:cs="" w:cstheme="majorBidi" w:eastAsiaTheme="majorEastAsia"/>
      <w:i/>
      <w:iCs/>
      <w:color w:val="272727" w:themeColor="text1" w:themeTint="d8"/>
      <w:lang w:val="es-ES"/>
    </w:rPr>
  </w:style>
  <w:style w:type="character" w:styleId="9izenburuaKar" w:customStyle="1">
    <w:name w:val="9. izenburua Kar"/>
    <w:basedOn w:val="DefaultParagraphFont"/>
    <w:uiPriority w:val="9"/>
    <w:semiHidden/>
    <w:qFormat/>
    <w:rsid w:val="009d275c"/>
    <w:rPr>
      <w:rFonts w:eastAsia="" w:cs="" w:cstheme="majorBidi" w:eastAsiaTheme="majorEastAsia"/>
      <w:color w:val="272727" w:themeColor="text1" w:themeTint="d8"/>
      <w:lang w:val="es-ES"/>
    </w:rPr>
  </w:style>
  <w:style w:type="character" w:styleId="TituluaKar" w:customStyle="1">
    <w:name w:val="Titulua Kar"/>
    <w:basedOn w:val="DefaultParagraphFont"/>
    <w:uiPriority w:val="10"/>
    <w:qFormat/>
    <w:rsid w:val="009d275c"/>
    <w:rPr>
      <w:rFonts w:ascii="Calibri Light" w:hAnsi="Calibri Light" w:eastAsia="" w:cs="" w:asciiTheme="majorHAnsi" w:cstheme="majorBidi" w:eastAsiaTheme="majorEastAsia" w:hAnsiTheme="majorHAnsi"/>
      <w:spacing w:val="-10"/>
      <w:kern w:val="2"/>
      <w:sz w:val="56"/>
      <w:szCs w:val="56"/>
      <w:lang w:val="es-ES"/>
    </w:rPr>
  </w:style>
  <w:style w:type="character" w:styleId="AzpitituluaKar" w:customStyle="1">
    <w:name w:val="Azpititulua Kar"/>
    <w:basedOn w:val="DefaultParagraphFont"/>
    <w:uiPriority w:val="11"/>
    <w:qFormat/>
    <w:rsid w:val="009d275c"/>
    <w:rPr>
      <w:rFonts w:eastAsia="" w:cs="" w:cstheme="majorBidi" w:eastAsiaTheme="majorEastAsia"/>
      <w:color w:val="595959" w:themeColor="text1" w:themeTint="a6"/>
      <w:spacing w:val="15"/>
      <w:sz w:val="28"/>
      <w:szCs w:val="28"/>
      <w:lang w:val="es-ES"/>
    </w:rPr>
  </w:style>
  <w:style w:type="character" w:styleId="AipuaKar" w:customStyle="1">
    <w:name w:val="Aipua Kar"/>
    <w:basedOn w:val="DefaultParagraphFont"/>
    <w:link w:val="Quote"/>
    <w:uiPriority w:val="29"/>
    <w:qFormat/>
    <w:rsid w:val="009d275c"/>
    <w:rPr>
      <w:i/>
      <w:iCs/>
      <w:color w:val="404040" w:themeColor="text1" w:themeTint="bf"/>
      <w:lang w:val="es-ES"/>
    </w:rPr>
  </w:style>
  <w:style w:type="character" w:styleId="IntenseEmphasis">
    <w:name w:val="Intense Emphasis"/>
    <w:basedOn w:val="DefaultParagraphFont"/>
    <w:uiPriority w:val="21"/>
    <w:qFormat/>
    <w:rsid w:val="009d275c"/>
    <w:rPr>
      <w:i/>
      <w:iCs/>
      <w:color w:val="2F5496" w:themeColor="accent1" w:themeShade="bf"/>
    </w:rPr>
  </w:style>
  <w:style w:type="character" w:styleId="AipamenhandiaKar" w:customStyle="1">
    <w:name w:val="Aipamen handia Kar"/>
    <w:basedOn w:val="DefaultParagraphFont"/>
    <w:link w:val="IntenseQuote"/>
    <w:uiPriority w:val="30"/>
    <w:qFormat/>
    <w:rsid w:val="009d275c"/>
    <w:rPr>
      <w:i/>
      <w:iCs/>
      <w:color w:val="2F5496" w:themeColor="accent1" w:themeShade="bf"/>
      <w:lang w:val="es-ES"/>
    </w:rPr>
  </w:style>
  <w:style w:type="character" w:styleId="IntenseReference">
    <w:name w:val="Intense Reference"/>
    <w:basedOn w:val="DefaultParagraphFont"/>
    <w:uiPriority w:val="32"/>
    <w:qFormat/>
    <w:rsid w:val="009d275c"/>
    <w:rPr>
      <w:b/>
      <w:bCs/>
      <w:smallCaps/>
      <w:color w:val="2F5496" w:themeColor="accent1" w:themeShade="bf"/>
      <w:spacing w:val="5"/>
    </w:rPr>
  </w:style>
  <w:style w:type="character" w:styleId="GrafikoaKar" w:customStyle="1">
    <w:name w:val="Grafikoa Kar"/>
    <w:basedOn w:val="DefaultParagraphFont"/>
    <w:link w:val="Grafikoa"/>
    <w:qFormat/>
    <w:rsid w:val="0089599a"/>
    <w:rPr>
      <w:rFonts w:ascii="Calibri Light" w:hAnsi="Calibri Light" w:cs="Calibri Light" w:asciiTheme="majorHAnsi" w:cstheme="majorHAnsi" w:hAnsiTheme="majorHAnsi"/>
    </w:rPr>
  </w:style>
  <w:style w:type="character" w:styleId="EnlacedeInternet">
    <w:name w:val="Hyperlink"/>
    <w:basedOn w:val="DefaultParagraphFont"/>
    <w:uiPriority w:val="99"/>
    <w:unhideWhenUsed/>
    <w:rsid w:val="00e47513"/>
    <w:rPr>
      <w:color w:val="0563C1" w:themeColor="hyperlink"/>
      <w:u w:val="single"/>
    </w:rPr>
  </w:style>
  <w:style w:type="character" w:styleId="SubtleReference">
    <w:name w:val="Subtle Reference"/>
    <w:basedOn w:val="DefaultParagraphFont"/>
    <w:uiPriority w:val="31"/>
    <w:qFormat/>
    <w:rsid w:val="007b50c2"/>
    <w:rPr>
      <w:smallCaps/>
      <w:color w:val="5A5A5A" w:themeColor="text1" w:themeTint="a5"/>
    </w:rPr>
  </w:style>
  <w:style w:type="character" w:styleId="IturriaKar" w:customStyle="1">
    <w:name w:val="Iturria Kar"/>
    <w:basedOn w:val="DefaultParagraphFont"/>
    <w:link w:val="Iturria"/>
    <w:qFormat/>
    <w:rsid w:val="00200b54"/>
    <w:rPr>
      <w:rFonts w:ascii="Calibri Light" w:hAnsi="Calibri Light" w:cs="Calibri Light" w:asciiTheme="majorHAnsi" w:cstheme="majorHAnsi" w:hAnsiTheme="majorHAnsi"/>
      <w:color w:val="595959" w:themeColor="text1" w:themeTint="a6"/>
      <w:sz w:val="18"/>
      <w:szCs w:val="18"/>
    </w:rPr>
  </w:style>
  <w:style w:type="character" w:styleId="Oin-oharrarentestuaKar" w:customStyle="1">
    <w:name w:val="Oin-oharraren testua Kar"/>
    <w:basedOn w:val="DefaultParagraphFont"/>
    <w:uiPriority w:val="99"/>
    <w:semiHidden/>
    <w:qFormat/>
    <w:rsid w:val="008130db"/>
    <w:rPr>
      <w:rFonts w:ascii="Calibri Light" w:hAnsi="Calibri Light" w:cs="Calibri Light" w:asciiTheme="majorHAnsi" w:cstheme="majorHAnsi" w:hAnsiTheme="majorHAnsi"/>
      <w:sz w:val="20"/>
      <w:szCs w:val="20"/>
    </w:rPr>
  </w:style>
  <w:style w:type="character" w:styleId="Caracteresdenotaalpie">
    <w:name w:val="Caracteres de nota al pie"/>
    <w:basedOn w:val="DefaultParagraphFont"/>
    <w:uiPriority w:val="99"/>
    <w:semiHidden/>
    <w:unhideWhenUsed/>
    <w:qFormat/>
    <w:rsid w:val="008130db"/>
    <w:rPr>
      <w:vertAlign w:val="superscript"/>
    </w:rPr>
  </w:style>
  <w:style w:type="character" w:styleId="Ancladenotaalpie">
    <w:name w:val="Footnote Reference"/>
    <w:rPr>
      <w:vertAlign w:val="superscript"/>
    </w:rPr>
  </w:style>
  <w:style w:type="character" w:styleId="OndorioaKar" w:customStyle="1">
    <w:name w:val="Ondorioa Kar"/>
    <w:basedOn w:val="DefaultParagraphFont"/>
    <w:link w:val="Ondorioa"/>
    <w:qFormat/>
    <w:rsid w:val="008b3bc9"/>
    <w:rPr>
      <w:rFonts w:ascii="Montserrat" w:hAnsi="Montserrat" w:cs="Calibri Light" w:cstheme="majorHAnsi"/>
      <w:b/>
      <w:sz w:val="20"/>
      <w:szCs w:val="20"/>
    </w:rPr>
  </w:style>
  <w:style w:type="character" w:styleId="GoiburuaKar" w:customStyle="1">
    <w:name w:val="Goiburua Kar"/>
    <w:basedOn w:val="DefaultParagraphFont"/>
    <w:qFormat/>
    <w:rsid w:val="006a09ca"/>
    <w:rPr>
      <w:rFonts w:ascii="Calibri Light" w:hAnsi="Calibri Light" w:cs="Calibri Light" w:asciiTheme="majorHAnsi" w:cstheme="majorHAnsi" w:hAnsiTheme="majorHAnsi"/>
    </w:rPr>
  </w:style>
  <w:style w:type="character" w:styleId="Orri-oinaKar" w:customStyle="1">
    <w:name w:val="Orri-oina Kar"/>
    <w:basedOn w:val="DefaultParagraphFont"/>
    <w:uiPriority w:val="99"/>
    <w:qFormat/>
    <w:rsid w:val="006a09ca"/>
    <w:rPr>
      <w:rFonts w:ascii="Calibri Light" w:hAnsi="Calibri Light" w:cs="Calibri Light" w:asciiTheme="majorHAnsi" w:cstheme="majorHAnsi" w:hAnsiTheme="majorHAnsi"/>
    </w:rPr>
  </w:style>
  <w:style w:type="character" w:styleId="Enlacedelndice">
    <w:name w:val="Enlace del índice"/>
    <w:qFormat/>
    <w:rPr/>
  </w:style>
  <w:style w:type="character" w:styleId="Ancladenotafinal">
    <w:name w:val="Endnote Reference"/>
    <w:rPr>
      <w:vertAlign w:val="superscript"/>
    </w:rPr>
  </w:style>
  <w:style w:type="character" w:styleId="Caracteresdenotafinal">
    <w:name w:val="Caracteres de nota final"/>
    <w:qFormat/>
    <w:rPr/>
  </w:style>
  <w:style w:type="paragraph" w:styleId="Ttulo">
    <w:name w:val="Título"/>
    <w:basedOn w:val="Normal"/>
    <w:next w:val="Cuerpodetexto"/>
    <w:qFormat/>
    <w:pPr>
      <w:keepNext w:val="true"/>
      <w:spacing w:before="240" w:after="120"/>
    </w:pPr>
    <w:rPr>
      <w:rFonts w:ascii="Liberation Sans" w:hAnsi="Liberation Sans" w:eastAsia="Microsoft YaHei" w:cs="Arial Unicode MS"/>
      <w:sz w:val="28"/>
      <w:szCs w:val="28"/>
    </w:rPr>
  </w:style>
  <w:style w:type="paragraph" w:styleId="Cuerpodetexto">
    <w:name w:val="Body Text"/>
    <w:basedOn w:val="Normal"/>
    <w:pPr>
      <w:spacing w:lineRule="auto" w:line="276" w:before="0" w:after="140"/>
    </w:pPr>
    <w:rPr/>
  </w:style>
  <w:style w:type="paragraph" w:styleId="Lista">
    <w:name w:val="List"/>
    <w:basedOn w:val="Cuerpodetexto"/>
    <w:pPr/>
    <w:rPr>
      <w:rFonts w:cs="Arial Unicode MS"/>
    </w:rPr>
  </w:style>
  <w:style w:type="paragraph" w:styleId="Leyenda">
    <w:name w:val="Caption"/>
    <w:basedOn w:val="Normal"/>
    <w:qFormat/>
    <w:pPr>
      <w:suppressLineNumbers/>
      <w:spacing w:before="120" w:after="120"/>
    </w:pPr>
    <w:rPr>
      <w:rFonts w:cs="Arial Unicode MS"/>
      <w:i/>
      <w:iCs/>
      <w:sz w:val="24"/>
      <w:szCs w:val="24"/>
    </w:rPr>
  </w:style>
  <w:style w:type="paragraph" w:styleId="Ndice">
    <w:name w:val="Índice"/>
    <w:basedOn w:val="Normal"/>
    <w:qFormat/>
    <w:pPr>
      <w:suppressLineNumbers/>
    </w:pPr>
    <w:rPr>
      <w:rFonts w:cs="Arial Unicode MS"/>
    </w:rPr>
  </w:style>
  <w:style w:type="paragraph" w:styleId="Ttulogeneral">
    <w:name w:val="Title"/>
    <w:basedOn w:val="Normal"/>
    <w:next w:val="Normal"/>
    <w:link w:val="TituluaKar"/>
    <w:uiPriority w:val="10"/>
    <w:qFormat/>
    <w:rsid w:val="009d275c"/>
    <w:pPr>
      <w:spacing w:lineRule="auto" w:line="240" w:before="0" w:after="80"/>
      <w:contextualSpacing/>
    </w:pPr>
    <w:rPr>
      <w:rFonts w:eastAsia="" w:cs="" w:cstheme="majorBidi" w:eastAsiaTheme="majorEastAsia"/>
      <w:spacing w:val="-10"/>
      <w:kern w:val="2"/>
      <w:sz w:val="56"/>
      <w:szCs w:val="56"/>
    </w:rPr>
  </w:style>
  <w:style w:type="paragraph" w:styleId="Subttulo">
    <w:name w:val="Subtitle"/>
    <w:basedOn w:val="Normal"/>
    <w:next w:val="Normal"/>
    <w:link w:val="AzpitituluaKar"/>
    <w:uiPriority w:val="11"/>
    <w:qFormat/>
    <w:rsid w:val="009d275c"/>
    <w:pPr/>
    <w:rPr>
      <w:rFonts w:eastAsia="" w:cs="" w:cstheme="majorBidi" w:eastAsiaTheme="majorEastAsia"/>
      <w:color w:val="595959" w:themeColor="text1" w:themeTint="a6"/>
      <w:spacing w:val="15"/>
      <w:sz w:val="28"/>
      <w:szCs w:val="28"/>
    </w:rPr>
  </w:style>
  <w:style w:type="paragraph" w:styleId="Quote">
    <w:name w:val="Quote"/>
    <w:basedOn w:val="Normal"/>
    <w:next w:val="Normal"/>
    <w:link w:val="AipuaKar"/>
    <w:uiPriority w:val="29"/>
    <w:qFormat/>
    <w:rsid w:val="009d275c"/>
    <w:pPr>
      <w:spacing w:before="160" w:after="160"/>
      <w:jc w:val="center"/>
    </w:pPr>
    <w:rPr>
      <w:i/>
      <w:iCs/>
      <w:color w:val="404040" w:themeColor="text1" w:themeTint="bf"/>
    </w:rPr>
  </w:style>
  <w:style w:type="paragraph" w:styleId="ListParagraph">
    <w:name w:val="List Paragraph"/>
    <w:basedOn w:val="Normal"/>
    <w:uiPriority w:val="34"/>
    <w:qFormat/>
    <w:rsid w:val="009d275c"/>
    <w:pPr>
      <w:spacing w:before="0" w:after="160"/>
      <w:ind w:left="720" w:hanging="0"/>
      <w:contextualSpacing/>
    </w:pPr>
    <w:rPr/>
  </w:style>
  <w:style w:type="paragraph" w:styleId="IntenseQuote">
    <w:name w:val="Intense Quote"/>
    <w:basedOn w:val="Normal"/>
    <w:next w:val="Normal"/>
    <w:link w:val="AipamenhandiaKar"/>
    <w:uiPriority w:val="30"/>
    <w:qFormat/>
    <w:rsid w:val="009d275c"/>
    <w:pPr>
      <w:pBdr>
        <w:top w:val="single" w:sz="4" w:space="10" w:color="2F5496"/>
        <w:bottom w:val="single" w:sz="4" w:space="10" w:color="2F5496"/>
      </w:pBdr>
      <w:spacing w:before="360" w:after="360"/>
      <w:ind w:left="864" w:right="864" w:hanging="0"/>
      <w:jc w:val="center"/>
    </w:pPr>
    <w:rPr>
      <w:i/>
      <w:iCs/>
      <w:color w:val="2F5496" w:themeColor="accent1" w:themeShade="bf"/>
    </w:rPr>
  </w:style>
  <w:style w:type="paragraph" w:styleId="Grafikoa" w:customStyle="1">
    <w:name w:val="Grafikoa"/>
    <w:basedOn w:val="Normal"/>
    <w:link w:val="GrafikoaKar"/>
    <w:qFormat/>
    <w:rsid w:val="0089599a"/>
    <w:pPr/>
    <w:rPr/>
  </w:style>
  <w:style w:type="paragraph" w:styleId="Caption">
    <w:name w:val="caption"/>
    <w:basedOn w:val="Normal"/>
    <w:next w:val="Normal"/>
    <w:uiPriority w:val="35"/>
    <w:unhideWhenUsed/>
    <w:qFormat/>
    <w:rsid w:val="00710938"/>
    <w:pPr>
      <w:spacing w:lineRule="auto" w:line="240" w:before="0" w:after="200"/>
      <w:jc w:val="right"/>
    </w:pPr>
    <w:rPr>
      <w:rFonts w:ascii="Montserrat" w:hAnsi="Montserrat"/>
      <w:b/>
      <w:bCs/>
      <w:sz w:val="20"/>
      <w:szCs w:val="20"/>
    </w:rPr>
  </w:style>
  <w:style w:type="paragraph" w:styleId="Ttulodelndice">
    <w:name w:val="Index Heading"/>
    <w:basedOn w:val="Ttulo"/>
    <w:pPr/>
    <w:rPr/>
  </w:style>
  <w:style w:type="paragraph" w:styleId="Ttulodelsumario">
    <w:name w:val="TOC Heading"/>
    <w:basedOn w:val="Ttulo1"/>
    <w:next w:val="Normal"/>
    <w:uiPriority w:val="39"/>
    <w:unhideWhenUsed/>
    <w:qFormat/>
    <w:rsid w:val="00e47513"/>
    <w:pPr>
      <w:numPr>
        <w:ilvl w:val="0"/>
        <w:numId w:val="0"/>
      </w:numPr>
      <w:pBdr>
        <w:bottom w:val="nil"/>
      </w:pBdr>
      <w:spacing w:before="240" w:after="0"/>
      <w:outlineLvl w:val="9"/>
    </w:pPr>
    <w:rPr>
      <w:rFonts w:ascii="Calibri Light" w:hAnsi="Calibri Light" w:asciiTheme="majorHAnsi" w:hAnsiTheme="majorHAnsi"/>
      <w:b w:val="false"/>
      <w:bCs w:val="false"/>
      <w:color w:val="2F5496" w:themeColor="accent1" w:themeShade="bf"/>
      <w:kern w:val="0"/>
      <w:sz w:val="32"/>
      <w:szCs w:val="32"/>
      <w:lang w:eastAsia="eu-ES"/>
      <w14:ligatures w14:val="none"/>
    </w:rPr>
  </w:style>
  <w:style w:type="paragraph" w:styleId="Sumario1">
    <w:name w:val="TOC 1"/>
    <w:basedOn w:val="Normal"/>
    <w:next w:val="Normal"/>
    <w:autoRedefine/>
    <w:uiPriority w:val="39"/>
    <w:unhideWhenUsed/>
    <w:rsid w:val="00e47513"/>
    <w:pPr>
      <w:spacing w:before="0" w:after="100"/>
    </w:pPr>
    <w:rPr/>
  </w:style>
  <w:style w:type="paragraph" w:styleId="Sumario2">
    <w:name w:val="TOC 2"/>
    <w:basedOn w:val="Normal"/>
    <w:next w:val="Normal"/>
    <w:autoRedefine/>
    <w:uiPriority w:val="39"/>
    <w:unhideWhenUsed/>
    <w:rsid w:val="00e47513"/>
    <w:pPr>
      <w:spacing w:before="0" w:after="100"/>
      <w:ind w:left="220" w:hanging="0"/>
    </w:pPr>
    <w:rPr/>
  </w:style>
  <w:style w:type="paragraph" w:styleId="Sumario3">
    <w:name w:val="TOC 3"/>
    <w:basedOn w:val="Normal"/>
    <w:next w:val="Normal"/>
    <w:autoRedefine/>
    <w:uiPriority w:val="39"/>
    <w:unhideWhenUsed/>
    <w:rsid w:val="00e47513"/>
    <w:pPr>
      <w:spacing w:before="0" w:after="100"/>
      <w:ind w:left="440" w:hanging="0"/>
    </w:pPr>
    <w:rPr/>
  </w:style>
  <w:style w:type="paragraph" w:styleId="Tableoffigures">
    <w:name w:val="table of figures"/>
    <w:basedOn w:val="Normal"/>
    <w:next w:val="Normal"/>
    <w:uiPriority w:val="99"/>
    <w:unhideWhenUsed/>
    <w:qFormat/>
    <w:rsid w:val="0011212c"/>
    <w:pPr>
      <w:spacing w:before="0" w:after="0"/>
    </w:pPr>
    <w:rPr/>
  </w:style>
  <w:style w:type="paragraph" w:styleId="Iturria" w:customStyle="1">
    <w:name w:val="Iturria"/>
    <w:basedOn w:val="Normal"/>
    <w:link w:val="IturriaKar"/>
    <w:qFormat/>
    <w:rsid w:val="00200b54"/>
    <w:pPr>
      <w:spacing w:before="100" w:after="160"/>
      <w:jc w:val="right"/>
    </w:pPr>
    <w:rPr>
      <w:color w:val="595959" w:themeColor="text1" w:themeTint="a6"/>
      <w:sz w:val="18"/>
      <w:szCs w:val="18"/>
    </w:rPr>
  </w:style>
  <w:style w:type="paragraph" w:styleId="Notaalpie">
    <w:name w:val="Footnote Text"/>
    <w:basedOn w:val="Normal"/>
    <w:link w:val="Oin-oharrarentestuaKar"/>
    <w:uiPriority w:val="99"/>
    <w:semiHidden/>
    <w:unhideWhenUsed/>
    <w:rsid w:val="008130db"/>
    <w:pPr>
      <w:spacing w:lineRule="auto" w:line="240" w:before="0" w:after="0"/>
    </w:pPr>
    <w:rPr>
      <w:sz w:val="20"/>
      <w:szCs w:val="20"/>
    </w:rPr>
  </w:style>
  <w:style w:type="paragraph" w:styleId="Default" w:customStyle="1">
    <w:name w:val="Default"/>
    <w:qFormat/>
    <w:rsid w:val="007f5a5d"/>
    <w:pPr>
      <w:widowControl/>
      <w:bidi w:val="0"/>
      <w:spacing w:lineRule="auto" w:line="240" w:before="0" w:after="0"/>
      <w:jc w:val="left"/>
    </w:pPr>
    <w:rPr>
      <w:rFonts w:ascii="Calibri" w:hAnsi="Calibri" w:cs="Calibri" w:eastAsia="Calibri"/>
      <w:color w:val="000000"/>
      <w:kern w:val="0"/>
      <w:sz w:val="24"/>
      <w:szCs w:val="24"/>
      <w:lang w:val="eu-ES" w:eastAsia="en-US" w:bidi="ar-SA"/>
    </w:rPr>
  </w:style>
  <w:style w:type="paragraph" w:styleId="Ondorioa" w:customStyle="1">
    <w:name w:val="Ondorioa"/>
    <w:basedOn w:val="Normal"/>
    <w:link w:val="OndorioaKar"/>
    <w:qFormat/>
    <w:rsid w:val="008b3bc9"/>
    <w:pPr>
      <w:spacing w:before="320" w:after="160"/>
    </w:pPr>
    <w:rPr>
      <w:rFonts w:ascii="Montserrat" w:hAnsi="Montserrat"/>
      <w:b/>
      <w:sz w:val="20"/>
      <w:szCs w:val="20"/>
    </w:rPr>
  </w:style>
  <w:style w:type="paragraph" w:styleId="Cabeceraypie">
    <w:name w:val="Cabecera y pie"/>
    <w:basedOn w:val="Normal"/>
    <w:qFormat/>
    <w:pPr/>
    <w:rPr/>
  </w:style>
  <w:style w:type="paragraph" w:styleId="Cabecera">
    <w:name w:val="Header"/>
    <w:basedOn w:val="Normal"/>
    <w:link w:val="GoiburuaKar"/>
    <w:unhideWhenUsed/>
    <w:rsid w:val="006a09ca"/>
    <w:pPr>
      <w:tabs>
        <w:tab w:val="clear" w:pos="708"/>
        <w:tab w:val="center" w:pos="4252" w:leader="none"/>
        <w:tab w:val="right" w:pos="8504" w:leader="none"/>
      </w:tabs>
      <w:spacing w:lineRule="auto" w:line="240" w:before="0" w:after="0"/>
    </w:pPr>
    <w:rPr/>
  </w:style>
  <w:style w:type="paragraph" w:styleId="Piedepgina">
    <w:name w:val="Footer"/>
    <w:basedOn w:val="Normal"/>
    <w:link w:val="Orri-oinaKar"/>
    <w:uiPriority w:val="99"/>
    <w:unhideWhenUsed/>
    <w:rsid w:val="006a09ca"/>
    <w:pPr>
      <w:tabs>
        <w:tab w:val="clear" w:pos="708"/>
        <w:tab w:val="center" w:pos="4252" w:leader="none"/>
        <w:tab w:val="right" w:pos="8504" w:leader="none"/>
      </w:tabs>
      <w:spacing w:lineRule="auto" w:line="240" w:before="0" w:after="0"/>
    </w:pPr>
    <w:rPr/>
  </w:style>
  <w:style w:type="paragraph" w:styleId="Bibliography">
    <w:name w:val="Bibliography"/>
    <w:basedOn w:val="Normal"/>
    <w:next w:val="Normal"/>
    <w:uiPriority w:val="37"/>
    <w:unhideWhenUsed/>
    <w:qFormat/>
    <w:rsid w:val="00471f46"/>
    <w:pPr/>
    <w:rPr/>
  </w:style>
  <w:style w:type="paragraph" w:styleId="Sumario4">
    <w:name w:val="TOC 4"/>
    <w:basedOn w:val="Ndice"/>
    <w:pPr/>
    <w:rPr/>
  </w:style>
  <w:style w:type="paragraph" w:styleId="Sumario5">
    <w:name w:val="TOC 5"/>
    <w:basedOn w:val="Ndice"/>
    <w:pPr/>
    <w:rPr/>
  </w:style>
  <w:style w:type="paragraph" w:styleId="Sumario6">
    <w:name w:val="TOC 6"/>
    <w:basedOn w:val="Ndice"/>
    <w:pPr/>
    <w:rPr/>
  </w:style>
  <w:style w:type="paragraph" w:styleId="Sumario7">
    <w:name w:val="TOC 7"/>
    <w:basedOn w:val="Ndice"/>
    <w:pPr/>
    <w:rPr/>
  </w:style>
  <w:style w:type="paragraph" w:styleId="Sumario8">
    <w:name w:val="TOC 8"/>
    <w:basedOn w:val="Ndice"/>
    <w:pPr/>
    <w:rPr/>
  </w:style>
  <w:style w:type="paragraph" w:styleId="Sumario9">
    <w:name w:val="TOC 9"/>
    <w:basedOn w:val="Ndice"/>
    <w:pPr/>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ulanormala">
    <w:name w:val="Normal Table"/>
    <w:uiPriority w:val="99"/>
    <w:semiHidden/>
    <w:unhideWhenUsed/>
    <w:tblPr>
      <w:tblCellMar>
        <w:top w:w="0" w:type="dxa"/>
        <w:left w:w="108" w:type="dxa"/>
        <w:bottom w:w="0" w:type="dxa"/>
        <w:right w:w="108" w:type="dxa"/>
      </w:tblCellMar>
    </w:tblPr>
  </w:style>
  <w:style w:type="table" w:styleId="Saretaduntaula">
    <w:name w:val="Table Grid"/>
    <w:basedOn w:val="Taulanormala"/>
    <w:uiPriority w:val="39"/>
    <w:rsid w:val="00ff059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26" Type="http://schemas.openxmlformats.org/officeDocument/2006/relationships/image" Target="media/image25.png"/><Relationship Id="rId21" Type="http://schemas.openxmlformats.org/officeDocument/2006/relationships/image" Target="media/image20.png"/><Relationship Id="rId42" Type="http://schemas.openxmlformats.org/officeDocument/2006/relationships/image" Target="media/image41.png"/><Relationship Id="rId47" Type="http://schemas.openxmlformats.org/officeDocument/2006/relationships/image" Target="media/image46.png"/><Relationship Id="rId63" Type="http://schemas.openxmlformats.org/officeDocument/2006/relationships/image" Target="media/image62.png"/><Relationship Id="rId68" Type="http://schemas.openxmlformats.org/officeDocument/2006/relationships/image" Target="media/image67.png"/><Relationship Id="rId84" Type="http://schemas.openxmlformats.org/officeDocument/2006/relationships/numbering" Target="numbering.xml"/><Relationship Id="rId89" Type="http://schemas.openxmlformats.org/officeDocument/2006/relationships/customXml" Target="../customXml/item2.xml"/><Relationship Id="rId16" Type="http://schemas.openxmlformats.org/officeDocument/2006/relationships/image" Target="media/image15.png"/><Relationship Id="rId11" Type="http://schemas.openxmlformats.org/officeDocument/2006/relationships/image" Target="media/image10.png"/><Relationship Id="rId32" Type="http://schemas.openxmlformats.org/officeDocument/2006/relationships/image" Target="media/image31.png"/><Relationship Id="rId37" Type="http://schemas.openxmlformats.org/officeDocument/2006/relationships/image" Target="media/image36.png"/><Relationship Id="rId53" Type="http://schemas.openxmlformats.org/officeDocument/2006/relationships/image" Target="media/image52.png"/><Relationship Id="rId58" Type="http://schemas.openxmlformats.org/officeDocument/2006/relationships/image" Target="media/image57.png"/><Relationship Id="rId74" Type="http://schemas.openxmlformats.org/officeDocument/2006/relationships/image" Target="media/image73.png"/><Relationship Id="rId79" Type="http://schemas.openxmlformats.org/officeDocument/2006/relationships/image" Target="media/image78.png"/><Relationship Id="rId5" Type="http://schemas.openxmlformats.org/officeDocument/2006/relationships/image" Target="media/image4.png"/><Relationship Id="rId90" Type="http://schemas.openxmlformats.org/officeDocument/2006/relationships/customXml" Target="../customXml/item3.xml"/><Relationship Id="rId14" Type="http://schemas.openxmlformats.org/officeDocument/2006/relationships/image" Target="media/image13.png"/><Relationship Id="rId22" Type="http://schemas.openxmlformats.org/officeDocument/2006/relationships/image" Target="media/image21.png"/><Relationship Id="rId27" Type="http://schemas.openxmlformats.org/officeDocument/2006/relationships/image" Target="media/image26.png"/><Relationship Id="rId30" Type="http://schemas.openxmlformats.org/officeDocument/2006/relationships/image" Target="media/image29.png"/><Relationship Id="rId35" Type="http://schemas.openxmlformats.org/officeDocument/2006/relationships/image" Target="media/image34.png"/><Relationship Id="rId43" Type="http://schemas.openxmlformats.org/officeDocument/2006/relationships/image" Target="media/image42.png"/><Relationship Id="rId48" Type="http://schemas.openxmlformats.org/officeDocument/2006/relationships/image" Target="media/image47.png"/><Relationship Id="rId56" Type="http://schemas.openxmlformats.org/officeDocument/2006/relationships/image" Target="media/image55.png"/><Relationship Id="rId64" Type="http://schemas.openxmlformats.org/officeDocument/2006/relationships/image" Target="media/image63.png"/><Relationship Id="rId69" Type="http://schemas.openxmlformats.org/officeDocument/2006/relationships/image" Target="media/image68.png"/><Relationship Id="rId77" Type="http://schemas.openxmlformats.org/officeDocument/2006/relationships/image" Target="media/image76.png"/><Relationship Id="rId8" Type="http://schemas.openxmlformats.org/officeDocument/2006/relationships/image" Target="media/image7.png"/><Relationship Id="rId51" Type="http://schemas.openxmlformats.org/officeDocument/2006/relationships/image" Target="media/image50.png"/><Relationship Id="rId72" Type="http://schemas.openxmlformats.org/officeDocument/2006/relationships/image" Target="media/image71.png"/><Relationship Id="rId80" Type="http://schemas.openxmlformats.org/officeDocument/2006/relationships/image" Target="media/image79.png"/><Relationship Id="rId85" Type="http://schemas.openxmlformats.org/officeDocument/2006/relationships/fontTable" Target="fontTable.xml"/><Relationship Id="rId3" Type="http://schemas.openxmlformats.org/officeDocument/2006/relationships/image" Target="media/image2.png"/><Relationship Id="rId12" Type="http://schemas.openxmlformats.org/officeDocument/2006/relationships/image" Target="media/image11.png"/><Relationship Id="rId17" Type="http://schemas.openxmlformats.org/officeDocument/2006/relationships/image" Target="media/image16.png"/><Relationship Id="rId25" Type="http://schemas.openxmlformats.org/officeDocument/2006/relationships/image" Target="media/image24.png"/><Relationship Id="rId33" Type="http://schemas.openxmlformats.org/officeDocument/2006/relationships/image" Target="media/image32.png"/><Relationship Id="rId38" Type="http://schemas.openxmlformats.org/officeDocument/2006/relationships/image" Target="media/image37.png"/><Relationship Id="rId46" Type="http://schemas.openxmlformats.org/officeDocument/2006/relationships/image" Target="media/image45.png"/><Relationship Id="rId59" Type="http://schemas.openxmlformats.org/officeDocument/2006/relationships/image" Target="media/image58.png"/><Relationship Id="rId67" Type="http://schemas.openxmlformats.org/officeDocument/2006/relationships/image" Target="media/image66.png"/><Relationship Id="rId20" Type="http://schemas.openxmlformats.org/officeDocument/2006/relationships/image" Target="media/image19.png"/><Relationship Id="rId41" Type="http://schemas.openxmlformats.org/officeDocument/2006/relationships/image" Target="media/image40.png"/><Relationship Id="rId54" Type="http://schemas.openxmlformats.org/officeDocument/2006/relationships/image" Target="media/image53.png"/><Relationship Id="rId62" Type="http://schemas.openxmlformats.org/officeDocument/2006/relationships/image" Target="media/image61.png"/><Relationship Id="rId70" Type="http://schemas.openxmlformats.org/officeDocument/2006/relationships/image" Target="media/image69.png"/><Relationship Id="rId75" Type="http://schemas.openxmlformats.org/officeDocument/2006/relationships/image" Target="media/image74.png"/><Relationship Id="rId83" Type="http://schemas.openxmlformats.org/officeDocument/2006/relationships/footnotes" Target="footnotes.xml"/><Relationship Id="rId88" Type="http://schemas.openxmlformats.org/officeDocument/2006/relationships/customXml" Target="../customXml/item1.xml"/><Relationship Id="rId91" Type="http://schemas.openxmlformats.org/officeDocument/2006/relationships/customXml" Target="../customXml/item4.xml"/><Relationship Id="rId1" Type="http://schemas.openxmlformats.org/officeDocument/2006/relationships/styles" Target="styles.xml"/><Relationship Id="rId6" Type="http://schemas.openxmlformats.org/officeDocument/2006/relationships/image" Target="media/image5.png"/><Relationship Id="rId15" Type="http://schemas.openxmlformats.org/officeDocument/2006/relationships/image" Target="media/image14.png"/><Relationship Id="rId23" Type="http://schemas.openxmlformats.org/officeDocument/2006/relationships/image" Target="media/image22.png"/><Relationship Id="rId28" Type="http://schemas.openxmlformats.org/officeDocument/2006/relationships/image" Target="media/image27.png"/><Relationship Id="rId36" Type="http://schemas.openxmlformats.org/officeDocument/2006/relationships/image" Target="media/image35.png"/><Relationship Id="rId49" Type="http://schemas.openxmlformats.org/officeDocument/2006/relationships/image" Target="media/image48.png"/><Relationship Id="rId57" Type="http://schemas.openxmlformats.org/officeDocument/2006/relationships/image" Target="media/image56.png"/><Relationship Id="rId10" Type="http://schemas.openxmlformats.org/officeDocument/2006/relationships/image" Target="media/image9.png"/><Relationship Id="rId31" Type="http://schemas.openxmlformats.org/officeDocument/2006/relationships/image" Target="media/image30.png"/><Relationship Id="rId44" Type="http://schemas.openxmlformats.org/officeDocument/2006/relationships/image" Target="media/image43.png"/><Relationship Id="rId52" Type="http://schemas.openxmlformats.org/officeDocument/2006/relationships/image" Target="media/image51.png"/><Relationship Id="rId60" Type="http://schemas.openxmlformats.org/officeDocument/2006/relationships/image" Target="media/image59.png"/><Relationship Id="rId65" Type="http://schemas.openxmlformats.org/officeDocument/2006/relationships/image" Target="media/image64.png"/><Relationship Id="rId73" Type="http://schemas.openxmlformats.org/officeDocument/2006/relationships/image" Target="media/image72.png"/><Relationship Id="rId78" Type="http://schemas.openxmlformats.org/officeDocument/2006/relationships/image" Target="media/image77.png"/><Relationship Id="rId81" Type="http://schemas.openxmlformats.org/officeDocument/2006/relationships/header" Target="header1.xml"/><Relationship Id="rId86" Type="http://schemas.openxmlformats.org/officeDocument/2006/relationships/settings" Target="settings.xml"/><Relationship Id="rId4" Type="http://schemas.openxmlformats.org/officeDocument/2006/relationships/image" Target="media/image3.png"/><Relationship Id="rId9" Type="http://schemas.openxmlformats.org/officeDocument/2006/relationships/image" Target="media/image8.png"/><Relationship Id="rId13" Type="http://schemas.openxmlformats.org/officeDocument/2006/relationships/image" Target="media/image12.png"/><Relationship Id="rId18" Type="http://schemas.openxmlformats.org/officeDocument/2006/relationships/image" Target="media/image17.png"/><Relationship Id="rId39" Type="http://schemas.openxmlformats.org/officeDocument/2006/relationships/image" Target="media/image38.png"/><Relationship Id="rId34" Type="http://schemas.openxmlformats.org/officeDocument/2006/relationships/image" Target="media/image33.png"/><Relationship Id="rId50" Type="http://schemas.openxmlformats.org/officeDocument/2006/relationships/image" Target="media/image49.png"/><Relationship Id="rId55" Type="http://schemas.openxmlformats.org/officeDocument/2006/relationships/image" Target="media/image54.png"/><Relationship Id="rId76" Type="http://schemas.openxmlformats.org/officeDocument/2006/relationships/image" Target="media/image75.png"/><Relationship Id="rId7" Type="http://schemas.openxmlformats.org/officeDocument/2006/relationships/image" Target="media/image6.png"/><Relationship Id="rId71" Type="http://schemas.openxmlformats.org/officeDocument/2006/relationships/image" Target="media/image70.png"/><Relationship Id="rId2" Type="http://schemas.openxmlformats.org/officeDocument/2006/relationships/image" Target="media/image1.jpeg"/><Relationship Id="rId29" Type="http://schemas.openxmlformats.org/officeDocument/2006/relationships/image" Target="media/image28.png"/><Relationship Id="rId24" Type="http://schemas.openxmlformats.org/officeDocument/2006/relationships/image" Target="media/image23.png"/><Relationship Id="rId40" Type="http://schemas.openxmlformats.org/officeDocument/2006/relationships/image" Target="media/image39.png"/><Relationship Id="rId45" Type="http://schemas.openxmlformats.org/officeDocument/2006/relationships/image" Target="media/image44.png"/><Relationship Id="rId66" Type="http://schemas.openxmlformats.org/officeDocument/2006/relationships/image" Target="media/image65.png"/><Relationship Id="rId87" Type="http://schemas.openxmlformats.org/officeDocument/2006/relationships/theme" Target="theme/theme1.xml"/><Relationship Id="rId61" Type="http://schemas.openxmlformats.org/officeDocument/2006/relationships/image" Target="media/image60.png"/><Relationship Id="rId82" Type="http://schemas.openxmlformats.org/officeDocument/2006/relationships/footer" Target="footer1.xml"/><Relationship Id="rId19" Type="http://schemas.openxmlformats.org/officeDocument/2006/relationships/image" Target="media/image18.png"/></Relationships>
</file>

<file path=word/_rels/footer1.xml.rels><?xml version="1.0" encoding="UTF-8"?>
<Relationships xmlns="http://schemas.openxmlformats.org/package/2006/relationships"><Relationship Id="rId1" Type="http://schemas.openxmlformats.org/officeDocument/2006/relationships/image" Target="media/image81.png"/>
</Relationships>
</file>

<file path=word/_rels/header1.xml.rels><?xml version="1.0" encoding="UTF-8"?>
<Relationships xmlns="http://schemas.openxmlformats.org/package/2006/relationships"><Relationship Id="rId1" Type="http://schemas.openxmlformats.org/officeDocument/2006/relationships/image" Target="media/image80.png"/>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Etx241</b:Tag>
    <b:SourceType>Report</b:SourceType>
    <b:Guid>{C804F4E9-8B08-4226-A7FC-B2422FB2993B}</b:Guid>
    <b:Author>
      <b:Author>
        <b:Corporate>Etxebizitzaren Euskal Behatokia</b:Corporate>
      </b:Author>
    </b:Author>
    <b:Title>Bizitegi merkatuko tentsio eremuen izendapenerako diagnostikoa eta ekintza plana prestatzeko eredua</b:Title>
    <b:Year>2024</b:Year>
    <b:RefOrder>1</b:RefOrder>
  </b:Source>
  <b:Source>
    <b:Tag>BOE23</b:Tag>
    <b:SourceType>Book</b:SourceType>
    <b:Guid>{B2362836-BE76-4761-A184-AFD8247B745B}</b:Guid>
    <b:Title>Ley 12/2023, de 24 de mayo, por el derecho a la vivienda</b:Title>
    <b:Year>2023</b:Year>
    <b:Author>
      <b:Author>
        <b:Corporate>BOE</b:Corporate>
      </b:Author>
    </b:Author>
    <b:RefOrder>3</b:RefOrder>
  </b:Source>
  <b:Source>
    <b:Tag>Etx23</b:Tag>
    <b:SourceType>Report</b:SourceType>
    <b:Guid>{273F2A41-BFD4-4B0B-808D-294F4502E685}</b:Guid>
    <b:Author>
      <b:Author>
        <b:Corporate>Etxebizitzaren Euskal Behatokia</b:Corporate>
      </b:Author>
    </b:Author>
    <b:Title>Euskadiko tentsio eremuei buruzko txostena</b:Title>
    <b:Year>2023</b:Year>
    <b:RefOrder>4</b:RefOrder>
  </b:Source>
  <b:Source>
    <b:Tag>Eus21</b:Tag>
    <b:SourceType>Report</b:SourceType>
    <b:Guid>{D053F2BF-F9E6-4CAD-9011-9074C7D4B0D6}</b:Guid>
    <b:Author>
      <b:Author>
        <b:Corporate>Eusko Jaurlaritza</b:Corporate>
      </b:Author>
    </b:Author>
    <b:Title>149/2021 Dekretua, ekainaren 8koa, jenderik gabeko etxebizitzei eta etxebizitzaren funtzio soziala betetzeko neurriei buruzkoa.</b:Title>
    <b:Year>2021</b:Year>
    <b:RefOrder>5</b:RefOrder>
  </b:Source>
  <b:Source>
    <b:Tag>Etx231</b:Tag>
    <b:SourceType>Report</b:SourceType>
    <b:Guid>{62170F98-4A66-461E-98CF-2F71C359AE8B}</b:Guid>
    <b:Title>Etxebizitza hutsak Espainian: EINen ikerketa berria eta beste erreferentzia estatistiko batzuekin egindako alderaketa</b:Title>
    <b:Year>2023</b:Year>
    <b:Author>
      <b:Author>
        <b:Corporate>Etxebizitzaren Euskal Behatokia</b:Corporate>
      </b:Author>
    </b:Author>
    <b:RefOrder>6</b:RefOrder>
  </b:Source>
  <b:Source>
    <b:Tag>Etx24</b:Tag>
    <b:SourceType>Report</b:SourceType>
    <b:Guid>{C942CE5D-7B99-4071-B9AA-E84BCA4BB6BF}</b:Guid>
    <b:Title>Euskadiko tentsio eremuei buruzko txostena</b:Title>
    <b:Year>2024</b:Year>
    <b:Author>
      <b:Author>
        <b:Corporate>Etxebizitzaren Euskal Behatokia</b:Corporate>
      </b:Author>
    </b:Author>
    <b:RefOrder>2</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12A1F821DE80947BA2A4519960AB5A4" ma:contentTypeVersion="18" ma:contentTypeDescription="Crear nuevo documento." ma:contentTypeScope="" ma:versionID="ea5016ef9adffe305a6e6ea78fe8baef">
  <xsd:schema xmlns:xsd="http://www.w3.org/2001/XMLSchema" xmlns:xs="http://www.w3.org/2001/XMLSchema" xmlns:p="http://schemas.microsoft.com/office/2006/metadata/properties" xmlns:ns2="45ed0f28-a515-486d-8933-8f944b73dba6" xmlns:ns3="a0eed0c6-a2f9-4b40-929b-2662350a63c6" targetNamespace="http://schemas.microsoft.com/office/2006/metadata/properties" ma:root="true" ma:fieldsID="785f06ef42b4b46ca7fbf5dd1e45aa49" ns2:_="" ns3:_="">
    <xsd:import namespace="45ed0f28-a515-486d-8933-8f944b73dba6"/>
    <xsd:import namespace="a0eed0c6-a2f9-4b40-929b-2662350a63c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LengthInSecond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ed0f28-a515-486d-8933-8f944b73db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Etiquetas de imagen" ma:readOnly="false" ma:fieldId="{5cf76f15-5ced-4ddc-b409-7134ff3c332f}" ma:taxonomyMulti="true" ma:sspId="16238219-447f-418f-809f-6e2596424ee1"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Location" ma:index="24" nillable="true" ma:displayName="Location" ma:descrip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0eed0c6-a2f9-4b40-929b-2662350a63c6"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1" nillable="true" ma:displayName="Taxonomy Catch All Column" ma:hidden="true" ma:list="{cfff7daa-c76f-4454-99d4-1722d5aef550}" ma:internalName="TaxCatchAll" ma:showField="CatchAllData" ma:web="a0eed0c6-a2f9-4b40-929b-2662350a63c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0eed0c6-a2f9-4b40-929b-2662350a63c6" xsi:nil="true"/>
    <lcf76f155ced4ddcb4097134ff3c332f xmlns="45ed0f28-a515-486d-8933-8f944b73dba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586AB55-DB82-4D67-A7DA-942B675B4BF5}">
  <ds:schemaRefs>
    <ds:schemaRef ds:uri="http://schemas.openxmlformats.org/officeDocument/2006/bibliography"/>
  </ds:schemaRefs>
</ds:datastoreItem>
</file>

<file path=customXml/itemProps2.xml><?xml version="1.0" encoding="utf-8"?>
<ds:datastoreItem xmlns:ds="http://schemas.openxmlformats.org/officeDocument/2006/customXml" ds:itemID="{4278B45F-38D4-4962-8D4C-16ADAD5D6648}"/>
</file>

<file path=customXml/itemProps3.xml><?xml version="1.0" encoding="utf-8"?>
<ds:datastoreItem xmlns:ds="http://schemas.openxmlformats.org/officeDocument/2006/customXml" ds:itemID="{27352ED8-667D-4533-A390-926826788F48}"/>
</file>

<file path=customXml/itemProps4.xml><?xml version="1.0" encoding="utf-8"?>
<ds:datastoreItem xmlns:ds="http://schemas.openxmlformats.org/officeDocument/2006/customXml" ds:itemID="{A4DBC8F8-B054-46EB-8015-0523B6469479}"/>
</file>

<file path=docProps/app.xml><?xml version="1.0" encoding="utf-8"?>
<Properties xmlns="http://schemas.openxmlformats.org/officeDocument/2006/extended-properties" xmlns:vt="http://schemas.openxmlformats.org/officeDocument/2006/docPropsVTypes">
  <Template>Normal.dotm</Template>
  <TotalTime>32</TotalTime>
  <Application>LibreOffice/7.5.7.1$Windows_X86_64 LibreOffice_project/47eb0cf7efbacdee9b19ae25d6752381ede23126</Application>
  <AppVersion>15.0000</AppVersion>
  <Pages>71</Pages>
  <Words>15071</Words>
  <Characters>102395</Characters>
  <CharactersWithSpaces>115149</CharactersWithSpaces>
  <Paragraphs>2602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Pasaiako Udala_BMTE izendapenerako diagnostikoa eta justifikazio-memoria</dc:title>
  <dc:subject/>
  <dc:creator>Gislan Koop.</dc:creator>
  <dc:description/>
  <cp:lastModifiedBy>Gislan Koop. Koop.</cp:lastModifiedBy>
  <cp:revision>16</cp:revision>
  <cp:lastPrinted>2025-02-21T11:12:00Z</cp:lastPrinted>
  <dcterms:created xsi:type="dcterms:W3CDTF">2025-02-21T10:32:00Z</dcterms:created>
  <dcterms:modified xsi:type="dcterms:W3CDTF">2025-02-21T11:12:00Z</dcterms:modified>
  <dc:language>es-ES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0x010100712A1F821DE80947BA2A4519960AB5A4</vt:lpwstr>
  </property>
</Properties>
</file>