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34F1" w14:textId="0BE7BC03" w:rsidR="007A73B1" w:rsidRPr="00C079C3" w:rsidRDefault="007A73B1" w:rsidP="00123918">
      <w:pPr>
        <w:jc w:val="both"/>
        <w:rPr>
          <w:rFonts w:ascii="Arial" w:hAnsi="Arial" w:cs="Arial"/>
          <w:b/>
          <w:bCs/>
        </w:rPr>
      </w:pPr>
      <w:r w:rsidRPr="00C079C3">
        <w:rPr>
          <w:rFonts w:ascii="Arial" w:hAnsi="Arial" w:cs="Arial"/>
          <w:b/>
          <w:bCs/>
        </w:rPr>
        <w:t xml:space="preserve">ORDEN de la </w:t>
      </w:r>
      <w:proofErr w:type="gramStart"/>
      <w:r w:rsidRPr="00C079C3">
        <w:rPr>
          <w:rFonts w:ascii="Arial" w:hAnsi="Arial" w:cs="Arial"/>
          <w:b/>
          <w:bCs/>
        </w:rPr>
        <w:t>Consejera</w:t>
      </w:r>
      <w:proofErr w:type="gramEnd"/>
      <w:r w:rsidRPr="00C079C3">
        <w:rPr>
          <w:rFonts w:ascii="Arial" w:hAnsi="Arial" w:cs="Arial"/>
          <w:b/>
          <w:bCs/>
        </w:rPr>
        <w:t xml:space="preserve"> de Educación, </w:t>
      </w:r>
      <w:r w:rsidRPr="00407D42">
        <w:rPr>
          <w:rFonts w:ascii="Arial" w:hAnsi="Arial" w:cs="Arial"/>
          <w:b/>
          <w:bCs/>
        </w:rPr>
        <w:t xml:space="preserve">por la que se modifica la Orden de 9 de septiembre, de la Consejera de Educación, por la que se fijan los precios públicos del servicio de comedor escolar en los centros docentes públicos </w:t>
      </w:r>
      <w:r w:rsidR="007730CE" w:rsidRPr="00407D42">
        <w:rPr>
          <w:rFonts w:ascii="Arial" w:hAnsi="Arial" w:cs="Arial"/>
          <w:b/>
          <w:bCs/>
        </w:rPr>
        <w:t xml:space="preserve">no </w:t>
      </w:r>
      <w:r w:rsidRPr="00407D42">
        <w:rPr>
          <w:rFonts w:ascii="Arial" w:hAnsi="Arial" w:cs="Arial"/>
          <w:b/>
          <w:bCs/>
        </w:rPr>
        <w:t>universitarios de la Comunidad Autónoma del País</w:t>
      </w:r>
      <w:r w:rsidRPr="00C079C3">
        <w:rPr>
          <w:rFonts w:ascii="Arial" w:hAnsi="Arial" w:cs="Arial"/>
          <w:b/>
          <w:bCs/>
        </w:rPr>
        <w:t xml:space="preserve"> Vasco en los niveles de enseñanza obligatorios y Educación Infantil (tercer curso del primer ciclo y segundo ciclo), y se definen las condiciones para el beneficio de las exenciones y reducciones de los mismos. </w:t>
      </w:r>
    </w:p>
    <w:p w14:paraId="28509CB2" w14:textId="2A86868A" w:rsidR="009D17F8" w:rsidRDefault="009D17F8" w:rsidP="00C079C3">
      <w:pPr>
        <w:spacing w:line="276" w:lineRule="auto"/>
        <w:jc w:val="both"/>
        <w:rPr>
          <w:rFonts w:ascii="Arial" w:hAnsi="Arial" w:cs="Arial"/>
        </w:rPr>
      </w:pPr>
      <w:r w:rsidRPr="009D17F8">
        <w:rPr>
          <w:rFonts w:ascii="Arial" w:hAnsi="Arial" w:cs="Arial"/>
        </w:rPr>
        <w:t xml:space="preserve">La presente Orden tiene por objeto derogar los artículos 4 y 5 de la Orden de 9 de septiembre de 2024, de la </w:t>
      </w:r>
      <w:proofErr w:type="gramStart"/>
      <w:r w:rsidRPr="009D17F8">
        <w:rPr>
          <w:rFonts w:ascii="Arial" w:hAnsi="Arial" w:cs="Arial"/>
        </w:rPr>
        <w:t>Consejera</w:t>
      </w:r>
      <w:proofErr w:type="gramEnd"/>
      <w:r w:rsidRPr="009D17F8">
        <w:rPr>
          <w:rFonts w:ascii="Arial" w:hAnsi="Arial" w:cs="Arial"/>
        </w:rPr>
        <w:t xml:space="preserve"> de Educación, por la que se fijan los precios públicos del servicio de comedor escolar en los centros docentes públicos no universitarios de la Comunidad Autónoma del País Vasco en los niveles de enseñanza obligatorios y Educación Infantil (tercer curso del primer ciclo y segundo ciclo), relativos a la bonificación del precio público.</w:t>
      </w:r>
    </w:p>
    <w:p w14:paraId="75650EF0" w14:textId="70E550EE" w:rsidR="00D238EF" w:rsidRDefault="00CF2150" w:rsidP="00C079C3">
      <w:pPr>
        <w:spacing w:line="276" w:lineRule="auto"/>
        <w:jc w:val="both"/>
        <w:rPr>
          <w:rFonts w:ascii="Arial" w:hAnsi="Arial" w:cs="Arial"/>
        </w:rPr>
      </w:pPr>
      <w:r w:rsidRPr="00CF2150">
        <w:rPr>
          <w:rFonts w:ascii="Arial" w:hAnsi="Arial" w:cs="Arial"/>
        </w:rPr>
        <w:t xml:space="preserve">Asimismo, se modifica el apartado 1 del artículo 12 de la Orden de 9 de septiembre de 2024, de la </w:t>
      </w:r>
      <w:proofErr w:type="gramStart"/>
      <w:r w:rsidRPr="00CF2150">
        <w:rPr>
          <w:rFonts w:ascii="Arial" w:hAnsi="Arial" w:cs="Arial"/>
        </w:rPr>
        <w:t>Consejera</w:t>
      </w:r>
      <w:proofErr w:type="gramEnd"/>
      <w:r w:rsidRPr="00CF2150">
        <w:rPr>
          <w:rFonts w:ascii="Arial" w:hAnsi="Arial" w:cs="Arial"/>
        </w:rPr>
        <w:t xml:space="preserve"> de Educación, por la que se regulan los comedores escolares de los centros docentes públicos no universitarios de la Comunidad Autónoma del País Vasco.</w:t>
      </w:r>
    </w:p>
    <w:p w14:paraId="46928333" w14:textId="45BC548E" w:rsidR="00C079C3" w:rsidRPr="00C079C3" w:rsidRDefault="00C079C3" w:rsidP="00C079C3">
      <w:pPr>
        <w:spacing w:line="276" w:lineRule="auto"/>
        <w:jc w:val="both"/>
        <w:rPr>
          <w:rFonts w:ascii="Arial" w:hAnsi="Arial" w:cs="Arial"/>
        </w:rPr>
      </w:pPr>
      <w:r w:rsidRPr="00C079C3">
        <w:rPr>
          <w:rFonts w:ascii="Arial" w:hAnsi="Arial" w:cs="Arial"/>
        </w:rPr>
        <w:t>En virtud de las facultades que me confiere el artículo 33 del Texto Refundido de la Ley de Tasas y Precios Públicos de la Administración de la Comunidad Autónoma del País Vasco, aprobado por Decreto Legislativo 1/2025, de 20 de marzo, y de acuerdo con el Decreto 397/2013, de 30 de julio, por el que se determinan los servicios y actividades susceptibles de ser retribuidos mediante precios públicos de la Administración de la Comunidad Autónoma del País Vasco y de sus Organismos Autónomos, habiéndose informado favorablemente el expediente correspondiente por el Departamento de Hacienda y Economía,</w:t>
      </w:r>
    </w:p>
    <w:p w14:paraId="66A9F381" w14:textId="77777777" w:rsidR="00C079C3" w:rsidRPr="007B1443" w:rsidRDefault="00C079C3" w:rsidP="00C079C3">
      <w:pPr>
        <w:pStyle w:val="BOPVClave"/>
        <w:spacing w:line="276" w:lineRule="auto"/>
        <w:rPr>
          <w:rFonts w:eastAsiaTheme="minorHAnsi" w:cs="Arial"/>
          <w:b/>
          <w:bCs/>
          <w:caps w:val="0"/>
          <w:szCs w:val="28"/>
          <w:lang w:eastAsia="en-US" w:bidi="as-IN"/>
        </w:rPr>
      </w:pPr>
      <w:r w:rsidRPr="007B1443">
        <w:rPr>
          <w:rFonts w:eastAsiaTheme="minorHAnsi" w:cs="Arial"/>
          <w:b/>
          <w:bCs/>
          <w:caps w:val="0"/>
          <w:szCs w:val="28"/>
          <w:lang w:eastAsia="en-US" w:bidi="as-IN"/>
        </w:rPr>
        <w:t>DISPONGO:</w:t>
      </w:r>
    </w:p>
    <w:p w14:paraId="20EF9C25" w14:textId="6C85A120" w:rsidR="00C079C3" w:rsidRPr="007B1443" w:rsidRDefault="00C079C3" w:rsidP="00C079C3">
      <w:pPr>
        <w:pStyle w:val="BOPVDisposicion"/>
        <w:spacing w:line="276" w:lineRule="auto"/>
        <w:jc w:val="both"/>
        <w:rPr>
          <w:rFonts w:eastAsiaTheme="minorHAnsi" w:cs="Arial"/>
          <w:caps w:val="0"/>
          <w:szCs w:val="28"/>
          <w:lang w:eastAsia="en-US" w:bidi="as-IN"/>
        </w:rPr>
      </w:pPr>
      <w:r w:rsidRPr="007B1443">
        <w:rPr>
          <w:rFonts w:eastAsiaTheme="minorHAnsi" w:cs="Arial"/>
          <w:b/>
          <w:bCs/>
          <w:caps w:val="0"/>
          <w:szCs w:val="28"/>
          <w:lang w:eastAsia="en-US" w:bidi="as-IN"/>
        </w:rPr>
        <w:t xml:space="preserve">Artículo </w:t>
      </w:r>
      <w:r w:rsidR="00405AFC" w:rsidRPr="007B1443">
        <w:rPr>
          <w:rFonts w:eastAsiaTheme="minorHAnsi" w:cs="Arial"/>
          <w:b/>
          <w:bCs/>
          <w:caps w:val="0"/>
          <w:szCs w:val="28"/>
          <w:lang w:eastAsia="en-US" w:bidi="as-IN"/>
        </w:rPr>
        <w:t>único. –</w:t>
      </w:r>
      <w:r w:rsidRPr="007B1443">
        <w:rPr>
          <w:rFonts w:eastAsiaTheme="minorHAnsi" w:cs="Arial"/>
          <w:caps w:val="0"/>
          <w:szCs w:val="28"/>
          <w:lang w:eastAsia="en-US" w:bidi="as-IN"/>
        </w:rPr>
        <w:t xml:space="preserve">  Quedan derogados los artículos 4 y 5 de la Orden de 9 de septiembre de 2024, de la </w:t>
      </w:r>
      <w:proofErr w:type="gramStart"/>
      <w:r w:rsidRPr="007B1443">
        <w:rPr>
          <w:rFonts w:eastAsiaTheme="minorHAnsi" w:cs="Arial"/>
          <w:caps w:val="0"/>
          <w:szCs w:val="28"/>
          <w:lang w:eastAsia="en-US" w:bidi="as-IN"/>
        </w:rPr>
        <w:t>Consejera</w:t>
      </w:r>
      <w:proofErr w:type="gramEnd"/>
      <w:r w:rsidRPr="007B1443">
        <w:rPr>
          <w:rFonts w:eastAsiaTheme="minorHAnsi" w:cs="Arial"/>
          <w:caps w:val="0"/>
          <w:szCs w:val="28"/>
          <w:lang w:eastAsia="en-US" w:bidi="as-IN"/>
        </w:rPr>
        <w:t xml:space="preserve"> de Educación, por la que se fijan los precios públicos del servicio de comedor escolar en los centros docentes públicos no universitarios de la Comunidad Autónoma del País Vasco en los niveles de enseñanza obligatorios y Educación Infantil (tercer curso del primer ciclo y segundo ciclo), y se definen las condiciones para el beneficio de las exenciones y reducciones de los mismos. </w:t>
      </w:r>
    </w:p>
    <w:p w14:paraId="5FB286D6" w14:textId="77777777" w:rsidR="00C079C3" w:rsidRPr="00611A62" w:rsidRDefault="00C079C3" w:rsidP="00C079C3">
      <w:pPr>
        <w:pStyle w:val="BOPVDisposicion"/>
        <w:spacing w:line="276" w:lineRule="auto"/>
        <w:jc w:val="both"/>
        <w:rPr>
          <w:rFonts w:eastAsiaTheme="minorHAnsi" w:cs="Arial"/>
          <w:b/>
          <w:bCs/>
          <w:caps w:val="0"/>
          <w:szCs w:val="28"/>
          <w:lang w:eastAsia="en-US" w:bidi="as-IN"/>
        </w:rPr>
      </w:pPr>
      <w:r w:rsidRPr="00611A62">
        <w:rPr>
          <w:rFonts w:eastAsiaTheme="minorHAnsi" w:cs="Arial"/>
          <w:b/>
          <w:bCs/>
          <w:caps w:val="0"/>
          <w:szCs w:val="28"/>
          <w:lang w:eastAsia="en-US" w:bidi="as-IN"/>
        </w:rPr>
        <w:t>DISPOSICIÓN ADICIONAL ÚNICA</w:t>
      </w:r>
    </w:p>
    <w:p w14:paraId="5EEBB0F5" w14:textId="77777777" w:rsidR="00C079C3" w:rsidRPr="007B1443" w:rsidRDefault="00C079C3" w:rsidP="00C079C3">
      <w:pPr>
        <w:pStyle w:val="BOPVDisposicion"/>
        <w:spacing w:line="276" w:lineRule="auto"/>
        <w:jc w:val="both"/>
        <w:rPr>
          <w:rFonts w:eastAsiaTheme="minorHAnsi" w:cs="Arial"/>
          <w:caps w:val="0"/>
          <w:szCs w:val="28"/>
          <w:lang w:eastAsia="en-US" w:bidi="as-IN"/>
        </w:rPr>
      </w:pPr>
      <w:r w:rsidRPr="007B1443">
        <w:rPr>
          <w:rFonts w:eastAsiaTheme="minorHAnsi" w:cs="Arial"/>
          <w:caps w:val="0"/>
          <w:szCs w:val="28"/>
          <w:lang w:eastAsia="en-US" w:bidi="as-IN"/>
        </w:rPr>
        <w:t xml:space="preserve">Se modifica el apartado 1 del artículo 12 de la Orden de 9 de septiembre de 2024, de la </w:t>
      </w:r>
      <w:proofErr w:type="gramStart"/>
      <w:r w:rsidRPr="007B1443">
        <w:rPr>
          <w:rFonts w:eastAsiaTheme="minorHAnsi" w:cs="Arial"/>
          <w:caps w:val="0"/>
          <w:szCs w:val="28"/>
          <w:lang w:eastAsia="en-US" w:bidi="as-IN"/>
        </w:rPr>
        <w:t>Consejera</w:t>
      </w:r>
      <w:proofErr w:type="gramEnd"/>
      <w:r w:rsidRPr="007B1443">
        <w:rPr>
          <w:rFonts w:eastAsiaTheme="minorHAnsi" w:cs="Arial"/>
          <w:caps w:val="0"/>
          <w:szCs w:val="28"/>
          <w:lang w:eastAsia="en-US" w:bidi="as-IN"/>
        </w:rPr>
        <w:t xml:space="preserve"> de Educación, por la que se regulan los comedores escolares de los centros docentes públicos no universitarios de la Comunidad Autónoma del País Vasco en los niveles de enseñanza obligatorios y Educación Infantil (tercer curso del primer ciclo y segundo ciclo) que queda redactado de la forma siguiente:</w:t>
      </w:r>
    </w:p>
    <w:p w14:paraId="12F09274" w14:textId="77777777" w:rsidR="00C079C3" w:rsidRPr="007B1443" w:rsidRDefault="00C079C3" w:rsidP="00C079C3">
      <w:pPr>
        <w:pStyle w:val="BOPVDetalle"/>
        <w:spacing w:line="276" w:lineRule="auto"/>
        <w:jc w:val="both"/>
        <w:rPr>
          <w:rFonts w:eastAsiaTheme="minorHAnsi" w:cs="Arial"/>
          <w:szCs w:val="28"/>
          <w:lang w:eastAsia="en-US" w:bidi="as-IN"/>
        </w:rPr>
      </w:pPr>
      <w:r w:rsidRPr="007B1443">
        <w:rPr>
          <w:rFonts w:eastAsiaTheme="minorHAnsi" w:cs="Arial"/>
          <w:szCs w:val="28"/>
          <w:lang w:eastAsia="en-US" w:bidi="as-IN"/>
        </w:rPr>
        <w:t>«1.- El OMR, en función de la capacidad máxima autorizada, asignará las plazas de comedor con el siguiente orden de preferencia:</w:t>
      </w:r>
    </w:p>
    <w:p w14:paraId="322F31C0" w14:textId="77777777" w:rsidR="00C079C3" w:rsidRPr="007B1443" w:rsidRDefault="00C079C3" w:rsidP="00C079C3">
      <w:pPr>
        <w:pStyle w:val="BOPVDetalle"/>
        <w:spacing w:line="276" w:lineRule="auto"/>
        <w:jc w:val="both"/>
        <w:rPr>
          <w:rFonts w:eastAsiaTheme="minorHAnsi" w:cs="Arial"/>
          <w:szCs w:val="28"/>
          <w:lang w:eastAsia="en-US" w:bidi="as-IN"/>
        </w:rPr>
      </w:pPr>
      <w:r w:rsidRPr="007B1443">
        <w:rPr>
          <w:rFonts w:eastAsiaTheme="minorHAnsi" w:cs="Arial"/>
          <w:szCs w:val="28"/>
          <w:lang w:eastAsia="en-US" w:bidi="as-IN"/>
        </w:rPr>
        <w:t>1.º Comensales habituales:</w:t>
      </w:r>
    </w:p>
    <w:p w14:paraId="579462C6" w14:textId="77777777" w:rsidR="00C079C3" w:rsidRPr="007B1443" w:rsidRDefault="00C079C3" w:rsidP="00C079C3">
      <w:pPr>
        <w:pStyle w:val="BOPVDetalle"/>
        <w:spacing w:line="276" w:lineRule="auto"/>
        <w:ind w:firstLine="708"/>
        <w:jc w:val="both"/>
        <w:rPr>
          <w:rFonts w:eastAsiaTheme="minorHAnsi" w:cs="Arial"/>
          <w:szCs w:val="28"/>
          <w:lang w:eastAsia="en-US" w:bidi="as-IN"/>
        </w:rPr>
      </w:pPr>
      <w:r w:rsidRPr="007B1443">
        <w:rPr>
          <w:rFonts w:eastAsiaTheme="minorHAnsi" w:cs="Arial"/>
          <w:szCs w:val="28"/>
          <w:lang w:eastAsia="en-US" w:bidi="as-IN"/>
        </w:rPr>
        <w:lastRenderedPageBreak/>
        <w:t>1.º Alumnado con derecho al transporte.</w:t>
      </w:r>
    </w:p>
    <w:p w14:paraId="729E1F77" w14:textId="77777777" w:rsidR="00C079C3" w:rsidRPr="007B1443" w:rsidRDefault="00C079C3" w:rsidP="00C079C3">
      <w:pPr>
        <w:pStyle w:val="BOPVDetalle"/>
        <w:ind w:firstLine="708"/>
        <w:jc w:val="both"/>
        <w:rPr>
          <w:rFonts w:eastAsiaTheme="minorHAnsi" w:cs="Arial"/>
          <w:szCs w:val="28"/>
          <w:lang w:eastAsia="en-US" w:bidi="as-IN"/>
        </w:rPr>
      </w:pPr>
      <w:r w:rsidRPr="007B1443">
        <w:rPr>
          <w:rFonts w:eastAsiaTheme="minorHAnsi" w:cs="Arial"/>
          <w:szCs w:val="28"/>
          <w:lang w:eastAsia="en-US" w:bidi="as-IN"/>
        </w:rPr>
        <w:t>2.º Alumnado becado.</w:t>
      </w:r>
    </w:p>
    <w:p w14:paraId="372A1AC2" w14:textId="77777777" w:rsidR="00C079C3" w:rsidRPr="007B1443" w:rsidRDefault="00C079C3" w:rsidP="00C079C3">
      <w:pPr>
        <w:pStyle w:val="BOPVDetalle"/>
        <w:spacing w:line="276" w:lineRule="auto"/>
        <w:ind w:firstLine="708"/>
        <w:rPr>
          <w:rFonts w:eastAsiaTheme="minorHAnsi" w:cs="Arial"/>
          <w:szCs w:val="28"/>
          <w:lang w:eastAsia="en-US" w:bidi="as-IN"/>
        </w:rPr>
      </w:pPr>
      <w:r w:rsidRPr="007B1443">
        <w:rPr>
          <w:rFonts w:eastAsiaTheme="minorHAnsi" w:cs="Arial"/>
          <w:szCs w:val="28"/>
          <w:lang w:eastAsia="en-US" w:bidi="as-IN"/>
        </w:rPr>
        <w:t>3.º Hijos e hijas de mujeres víctimas de violencia contra las mujeres.</w:t>
      </w:r>
    </w:p>
    <w:p w14:paraId="7A494160" w14:textId="72376627" w:rsidR="00C079C3" w:rsidRPr="007B1443" w:rsidRDefault="00C079C3" w:rsidP="00C079C3">
      <w:pPr>
        <w:pStyle w:val="BOPVDetalle"/>
        <w:spacing w:line="276" w:lineRule="auto"/>
        <w:ind w:left="708" w:firstLine="0"/>
        <w:jc w:val="both"/>
        <w:rPr>
          <w:rFonts w:eastAsiaTheme="minorHAnsi" w:cs="Arial"/>
          <w:szCs w:val="28"/>
          <w:lang w:eastAsia="en-US" w:bidi="as-IN"/>
        </w:rPr>
      </w:pPr>
      <w:r w:rsidRPr="007B1443">
        <w:rPr>
          <w:rFonts w:eastAsiaTheme="minorHAnsi" w:cs="Arial"/>
          <w:szCs w:val="28"/>
          <w:lang w:eastAsia="en-US" w:bidi="as-IN"/>
        </w:rPr>
        <w:t>4.º Alumnado con hermanos o hermanas usuarias del servicio de comedor en el mismo Centro.</w:t>
      </w:r>
    </w:p>
    <w:p w14:paraId="675DF7D5" w14:textId="77777777" w:rsidR="00C079C3" w:rsidRPr="007B1443" w:rsidRDefault="00C079C3" w:rsidP="00C079C3">
      <w:pPr>
        <w:pStyle w:val="BOPVDetalle"/>
        <w:spacing w:line="276" w:lineRule="auto"/>
        <w:rPr>
          <w:rFonts w:eastAsiaTheme="minorHAnsi" w:cs="Arial"/>
          <w:szCs w:val="28"/>
          <w:lang w:eastAsia="en-US" w:bidi="as-IN"/>
        </w:rPr>
      </w:pPr>
      <w:r w:rsidRPr="007B1443">
        <w:rPr>
          <w:rFonts w:eastAsiaTheme="minorHAnsi" w:cs="Arial"/>
          <w:szCs w:val="28"/>
          <w:lang w:eastAsia="en-US" w:bidi="as-IN"/>
        </w:rPr>
        <w:t xml:space="preserve">2.º Comensales habituales discontinuos. </w:t>
      </w:r>
    </w:p>
    <w:p w14:paraId="1AF99F3E" w14:textId="326CCD91" w:rsidR="00C079C3" w:rsidRPr="007B1443" w:rsidRDefault="00C079C3" w:rsidP="00C079C3">
      <w:pPr>
        <w:pStyle w:val="BOPVDetalle"/>
        <w:spacing w:line="276" w:lineRule="auto"/>
        <w:rPr>
          <w:rFonts w:eastAsiaTheme="minorHAnsi" w:cs="Arial"/>
          <w:szCs w:val="28"/>
          <w:lang w:eastAsia="en-US" w:bidi="as-IN"/>
        </w:rPr>
      </w:pPr>
      <w:r w:rsidRPr="007B1443">
        <w:rPr>
          <w:rFonts w:eastAsiaTheme="minorHAnsi" w:cs="Arial"/>
          <w:szCs w:val="28"/>
          <w:lang w:eastAsia="en-US" w:bidi="as-IN"/>
        </w:rPr>
        <w:t>3.ª Comensales eventuales.»</w:t>
      </w:r>
    </w:p>
    <w:p w14:paraId="049AC92E" w14:textId="77777777" w:rsidR="00C079C3" w:rsidRPr="00C079C3" w:rsidRDefault="00C079C3" w:rsidP="00C079C3">
      <w:pPr>
        <w:pStyle w:val="BOPVDisposicion"/>
        <w:spacing w:line="276" w:lineRule="auto"/>
        <w:rPr>
          <w:rFonts w:eastAsiaTheme="minorHAnsi" w:cs="Arial"/>
          <w:caps w:val="0"/>
          <w:szCs w:val="28"/>
          <w:lang w:eastAsia="en-US" w:bidi="as-IN"/>
        </w:rPr>
      </w:pPr>
    </w:p>
    <w:p w14:paraId="4124AA26" w14:textId="77777777" w:rsidR="00C079C3" w:rsidRPr="00C079C3" w:rsidRDefault="00C079C3" w:rsidP="00C079C3">
      <w:pPr>
        <w:pStyle w:val="BOPVDisposicion"/>
        <w:spacing w:line="276" w:lineRule="auto"/>
        <w:rPr>
          <w:rFonts w:eastAsiaTheme="minorHAnsi" w:cs="Arial"/>
          <w:b/>
          <w:bCs/>
          <w:caps w:val="0"/>
          <w:szCs w:val="28"/>
          <w:lang w:eastAsia="en-US" w:bidi="as-IN"/>
        </w:rPr>
      </w:pPr>
      <w:r w:rsidRPr="00C079C3">
        <w:rPr>
          <w:rFonts w:eastAsiaTheme="minorHAnsi" w:cs="Arial"/>
          <w:b/>
          <w:bCs/>
          <w:caps w:val="0"/>
          <w:szCs w:val="28"/>
          <w:lang w:eastAsia="en-US" w:bidi="as-IN"/>
        </w:rPr>
        <w:t>DISPOSICIÓN FINAL</w:t>
      </w:r>
    </w:p>
    <w:p w14:paraId="36A055BD" w14:textId="0E1C24D0" w:rsidR="00C079C3" w:rsidRPr="00C079C3" w:rsidRDefault="00C079C3" w:rsidP="00C079C3">
      <w:pPr>
        <w:pStyle w:val="BOPVDetalle"/>
        <w:spacing w:line="276" w:lineRule="auto"/>
        <w:ind w:firstLine="0"/>
        <w:rPr>
          <w:rFonts w:eastAsiaTheme="minorHAnsi" w:cs="Arial"/>
          <w:szCs w:val="28"/>
          <w:lang w:eastAsia="en-US" w:bidi="as-IN"/>
        </w:rPr>
      </w:pPr>
      <w:r w:rsidRPr="00C079C3">
        <w:rPr>
          <w:rFonts w:eastAsiaTheme="minorHAnsi" w:cs="Arial"/>
          <w:szCs w:val="28"/>
          <w:lang w:eastAsia="en-US" w:bidi="as-IN"/>
        </w:rPr>
        <w:t xml:space="preserve">La presente Orden entrará en vigor </w:t>
      </w:r>
      <w:r w:rsidRPr="00517E13">
        <w:rPr>
          <w:rFonts w:eastAsiaTheme="minorHAnsi" w:cs="Arial"/>
          <w:szCs w:val="28"/>
          <w:lang w:eastAsia="en-US" w:bidi="as-IN"/>
        </w:rPr>
        <w:t>el 1 de septiembre de 2026.</w:t>
      </w:r>
    </w:p>
    <w:p w14:paraId="4005F6A5" w14:textId="77777777" w:rsidR="00C079C3" w:rsidRPr="00C079C3" w:rsidRDefault="00C079C3" w:rsidP="00C079C3">
      <w:pPr>
        <w:pStyle w:val="BOPVDetalle"/>
        <w:spacing w:line="276" w:lineRule="auto"/>
        <w:rPr>
          <w:rFonts w:eastAsiaTheme="minorHAnsi" w:cs="Arial"/>
          <w:szCs w:val="28"/>
          <w:lang w:eastAsia="en-US" w:bidi="as-IN"/>
        </w:rPr>
      </w:pPr>
    </w:p>
    <w:p w14:paraId="3FD4009E" w14:textId="72F8BFFF" w:rsidR="00C079C3" w:rsidRPr="00C079C3" w:rsidRDefault="00C079C3" w:rsidP="00C079C3">
      <w:pPr>
        <w:pStyle w:val="BOPVFirmaLugFec"/>
        <w:spacing w:line="276" w:lineRule="auto"/>
        <w:ind w:firstLine="0"/>
        <w:rPr>
          <w:rFonts w:eastAsiaTheme="minorHAnsi" w:cs="Arial"/>
          <w:szCs w:val="28"/>
          <w:lang w:eastAsia="en-US" w:bidi="as-IN"/>
        </w:rPr>
      </w:pPr>
      <w:r w:rsidRPr="00C079C3">
        <w:rPr>
          <w:rFonts w:eastAsiaTheme="minorHAnsi" w:cs="Arial"/>
          <w:szCs w:val="28"/>
          <w:lang w:eastAsia="en-US" w:bidi="as-IN"/>
        </w:rPr>
        <w:t xml:space="preserve">En Vitoria-Gasteiz, </w:t>
      </w:r>
    </w:p>
    <w:p w14:paraId="43287DB9" w14:textId="77777777" w:rsidR="00C079C3" w:rsidRPr="00C079C3" w:rsidRDefault="00C079C3" w:rsidP="00C079C3">
      <w:pPr>
        <w:pStyle w:val="BOPVFirmaPuesto"/>
        <w:spacing w:line="276" w:lineRule="auto"/>
        <w:rPr>
          <w:rFonts w:eastAsiaTheme="minorHAnsi" w:cs="Arial"/>
          <w:szCs w:val="28"/>
          <w:lang w:eastAsia="en-US" w:bidi="as-IN"/>
        </w:rPr>
      </w:pPr>
    </w:p>
    <w:p w14:paraId="036BF143" w14:textId="4BEA83BC" w:rsidR="00C079C3" w:rsidRPr="00C079C3" w:rsidRDefault="00C079C3" w:rsidP="00C079C3">
      <w:pPr>
        <w:pStyle w:val="BOPVFirmaPuesto"/>
        <w:spacing w:line="276" w:lineRule="auto"/>
        <w:rPr>
          <w:rFonts w:eastAsiaTheme="minorHAnsi" w:cs="Arial"/>
          <w:szCs w:val="28"/>
          <w:lang w:eastAsia="en-US" w:bidi="as-IN"/>
        </w:rPr>
      </w:pPr>
    </w:p>
    <w:p w14:paraId="7ECCA4ED" w14:textId="0BE00BF1" w:rsidR="00C079C3" w:rsidRPr="00C079C3" w:rsidRDefault="00C079C3" w:rsidP="00C079C3">
      <w:pPr>
        <w:pStyle w:val="BOPVFirmaPuesto"/>
        <w:spacing w:line="276" w:lineRule="auto"/>
        <w:rPr>
          <w:rFonts w:eastAsiaTheme="minorHAnsi" w:cs="Arial"/>
          <w:szCs w:val="28"/>
          <w:lang w:eastAsia="en-US" w:bidi="as-IN"/>
        </w:rPr>
      </w:pPr>
    </w:p>
    <w:p w14:paraId="2D36C922" w14:textId="77777777" w:rsidR="00C079C3" w:rsidRPr="00C079C3" w:rsidRDefault="00C079C3" w:rsidP="00C079C3">
      <w:pPr>
        <w:pStyle w:val="BOPVFirmaPuesto"/>
        <w:spacing w:line="276" w:lineRule="auto"/>
        <w:rPr>
          <w:rFonts w:eastAsiaTheme="minorHAnsi" w:cs="Arial"/>
          <w:szCs w:val="28"/>
          <w:lang w:eastAsia="en-US" w:bidi="as-IN"/>
        </w:rPr>
      </w:pPr>
    </w:p>
    <w:p w14:paraId="5F133CA7" w14:textId="77777777" w:rsidR="00C079C3" w:rsidRPr="00C079C3" w:rsidRDefault="00C079C3" w:rsidP="00C079C3">
      <w:pPr>
        <w:pStyle w:val="BOPVFirmaPuesto"/>
        <w:spacing w:line="276" w:lineRule="auto"/>
        <w:rPr>
          <w:rFonts w:eastAsiaTheme="minorHAnsi" w:cs="Arial"/>
          <w:szCs w:val="28"/>
          <w:lang w:eastAsia="en-US" w:bidi="as-IN"/>
        </w:rPr>
      </w:pPr>
    </w:p>
    <w:p w14:paraId="000ABE0B" w14:textId="28BF1C8A" w:rsidR="00C079C3" w:rsidRPr="00C079C3" w:rsidRDefault="005222FC" w:rsidP="00C079C3">
      <w:pPr>
        <w:pStyle w:val="BOPVFirmaPuesto"/>
        <w:spacing w:line="276" w:lineRule="auto"/>
        <w:jc w:val="center"/>
        <w:rPr>
          <w:rFonts w:eastAsiaTheme="minorHAnsi" w:cs="Arial"/>
          <w:szCs w:val="28"/>
          <w:lang w:eastAsia="en-US" w:bidi="as-IN"/>
        </w:rPr>
      </w:pPr>
      <w:r w:rsidRPr="00C079C3">
        <w:rPr>
          <w:rFonts w:eastAsiaTheme="minorHAnsi" w:cs="Arial"/>
          <w:szCs w:val="28"/>
          <w:lang w:eastAsia="en-US" w:bidi="as-IN"/>
        </w:rPr>
        <w:t xml:space="preserve"> </w:t>
      </w:r>
    </w:p>
    <w:p w14:paraId="17878F56" w14:textId="46B69241" w:rsidR="00C079C3" w:rsidRDefault="00C079C3" w:rsidP="00C079C3">
      <w:pPr>
        <w:pStyle w:val="BOPVFirmaNombre"/>
        <w:spacing w:line="276" w:lineRule="auto"/>
        <w:jc w:val="center"/>
        <w:rPr>
          <w:rFonts w:eastAsiaTheme="minorHAnsi" w:cs="Arial"/>
          <w:caps w:val="0"/>
          <w:szCs w:val="28"/>
          <w:lang w:eastAsia="en-US" w:bidi="as-IN"/>
        </w:rPr>
      </w:pPr>
      <w:r w:rsidRPr="00C079C3">
        <w:rPr>
          <w:rFonts w:eastAsiaTheme="minorHAnsi" w:cs="Arial"/>
          <w:caps w:val="0"/>
          <w:szCs w:val="28"/>
          <w:lang w:eastAsia="en-US" w:bidi="as-IN"/>
        </w:rPr>
        <w:t>BEGOÑA PEDROSA LOBATO</w:t>
      </w:r>
    </w:p>
    <w:p w14:paraId="2A6F4C38" w14:textId="4927D2A0" w:rsidR="00C76D07" w:rsidRPr="00C079C3" w:rsidRDefault="00C76D07" w:rsidP="00C76D07">
      <w:pPr>
        <w:pStyle w:val="BOPVFirmaPuesto"/>
        <w:spacing w:line="276" w:lineRule="auto"/>
        <w:jc w:val="center"/>
        <w:rPr>
          <w:rFonts w:eastAsiaTheme="minorHAnsi" w:cs="Arial"/>
          <w:szCs w:val="28"/>
          <w:lang w:eastAsia="en-US" w:bidi="as-IN"/>
        </w:rPr>
      </w:pPr>
      <w:r w:rsidRPr="00C079C3">
        <w:rPr>
          <w:rFonts w:eastAsiaTheme="minorHAnsi" w:cs="Arial"/>
          <w:szCs w:val="28"/>
          <w:lang w:eastAsia="en-US" w:bidi="as-IN"/>
        </w:rPr>
        <w:t>CONSEJERA DE EDUCACIÓN</w:t>
      </w:r>
    </w:p>
    <w:p w14:paraId="0A278D95" w14:textId="77777777" w:rsidR="00C76D07" w:rsidRPr="00C079C3" w:rsidRDefault="00C76D07" w:rsidP="00C079C3">
      <w:pPr>
        <w:pStyle w:val="BOPVFirmaNombre"/>
        <w:spacing w:line="276" w:lineRule="auto"/>
        <w:jc w:val="center"/>
        <w:rPr>
          <w:rFonts w:asciiTheme="minorHAnsi" w:eastAsiaTheme="minorHAnsi" w:hAnsiTheme="minorHAnsi" w:cs="Vrinda"/>
          <w:caps w:val="0"/>
          <w:szCs w:val="28"/>
          <w:lang w:eastAsia="en-US" w:bidi="as-IN"/>
        </w:rPr>
      </w:pPr>
    </w:p>
    <w:sectPr w:rsidR="00C76D07" w:rsidRPr="00C079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B1"/>
    <w:rsid w:val="00123918"/>
    <w:rsid w:val="001575CB"/>
    <w:rsid w:val="001711B4"/>
    <w:rsid w:val="001B34CB"/>
    <w:rsid w:val="003D54BA"/>
    <w:rsid w:val="003E643B"/>
    <w:rsid w:val="00400598"/>
    <w:rsid w:val="00405AFC"/>
    <w:rsid w:val="00407D42"/>
    <w:rsid w:val="004437E7"/>
    <w:rsid w:val="00517E13"/>
    <w:rsid w:val="005222FC"/>
    <w:rsid w:val="00522ECC"/>
    <w:rsid w:val="005E1A47"/>
    <w:rsid w:val="00611A62"/>
    <w:rsid w:val="0069511E"/>
    <w:rsid w:val="007730CE"/>
    <w:rsid w:val="007A6786"/>
    <w:rsid w:val="007A73B1"/>
    <w:rsid w:val="007B1443"/>
    <w:rsid w:val="00806D2E"/>
    <w:rsid w:val="009D17F8"/>
    <w:rsid w:val="00C079C3"/>
    <w:rsid w:val="00C76D07"/>
    <w:rsid w:val="00CF18AF"/>
    <w:rsid w:val="00CF2150"/>
    <w:rsid w:val="00D238EF"/>
    <w:rsid w:val="00D54577"/>
    <w:rsid w:val="00ED0E0F"/>
    <w:rsid w:val="00F27062"/>
  </w:rsids>
  <m:mathPr>
    <m:mathFont m:val="Cambria Math"/>
    <m:brkBin m:val="before"/>
    <m:brkBinSub m:val="--"/>
    <m:smallFrac m:val="0"/>
    <m:dispDef/>
    <m:lMargin m:val="0"/>
    <m:rMargin m:val="0"/>
    <m:defJc m:val="centerGroup"/>
    <m:wrapIndent m:val="1440"/>
    <m:intLim m:val="subSup"/>
    <m:naryLim m:val="undOvr"/>
  </m:mathPr>
  <w:themeFontLang w:val="es-E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B838"/>
  <w15:chartTrackingRefBased/>
  <w15:docId w15:val="{44819DEC-43AB-4539-935B-C8ED935C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s-ES"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cs="Vrinda"/>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Detalle">
    <w:name w:val="BOPVDetalle"/>
    <w:rsid w:val="00C079C3"/>
    <w:pPr>
      <w:widowControl w:val="0"/>
      <w:spacing w:after="220" w:line="240" w:lineRule="auto"/>
      <w:ind w:firstLine="425"/>
    </w:pPr>
    <w:rPr>
      <w:rFonts w:ascii="Arial" w:eastAsia="Times New Roman" w:hAnsi="Arial" w:cs="Times New Roman"/>
      <w:szCs w:val="22"/>
      <w:lang w:eastAsia="es-ES_tradnl" w:bidi="ar-SA"/>
    </w:rPr>
  </w:style>
  <w:style w:type="paragraph" w:customStyle="1" w:styleId="BOPVClave">
    <w:name w:val="BOPVClave"/>
    <w:basedOn w:val="BOPVDetalle"/>
    <w:rsid w:val="00C079C3"/>
    <w:pPr>
      <w:ind w:firstLine="0"/>
      <w:jc w:val="center"/>
    </w:pPr>
    <w:rPr>
      <w:caps/>
    </w:rPr>
  </w:style>
  <w:style w:type="paragraph" w:customStyle="1" w:styleId="BOPVDisposicion">
    <w:name w:val="BOPVDisposicion"/>
    <w:basedOn w:val="BOPVClave"/>
    <w:rsid w:val="00C079C3"/>
    <w:pPr>
      <w:jc w:val="left"/>
    </w:pPr>
  </w:style>
  <w:style w:type="paragraph" w:customStyle="1" w:styleId="BOPVFirmaLugFec">
    <w:name w:val="BOPVFirmaLugFec"/>
    <w:basedOn w:val="BOPVDetalle"/>
    <w:rsid w:val="00C079C3"/>
  </w:style>
  <w:style w:type="paragraph" w:customStyle="1" w:styleId="BOPVFirmaNombre">
    <w:name w:val="BOPVFirmaNombre"/>
    <w:basedOn w:val="BOPVDetalle"/>
    <w:rsid w:val="00C079C3"/>
    <w:pPr>
      <w:ind w:firstLine="0"/>
    </w:pPr>
    <w:rPr>
      <w:caps/>
    </w:rPr>
  </w:style>
  <w:style w:type="paragraph" w:customStyle="1" w:styleId="BOPVFirmaPuesto">
    <w:name w:val="BOPVFirmaPuesto"/>
    <w:basedOn w:val="BOPVDetalle"/>
    <w:rsid w:val="00C079C3"/>
    <w:pPr>
      <w:spacing w:after="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E76BFB37FAAD40814892B1DE6904C8" ma:contentTypeVersion="17" ma:contentTypeDescription="Crear nuevo documento." ma:contentTypeScope="" ma:versionID="eaf77b75b22c57bd6e8bfb511bf54f69">
  <xsd:schema xmlns:xsd="http://www.w3.org/2001/XMLSchema" xmlns:xs="http://www.w3.org/2001/XMLSchema" xmlns:p="http://schemas.microsoft.com/office/2006/metadata/properties" xmlns:ns2="3fb316c7-f374-4a9c-aae6-bdd33c32b1ee" xmlns:ns3="60648d63-37a4-4678-8ff5-17c78855b4cd" targetNamespace="http://schemas.microsoft.com/office/2006/metadata/properties" ma:root="true" ma:fieldsID="20ac04835b3c015f51077bbe41c3ba8e" ns2:_="" ns3:_="">
    <xsd:import namespace="3fb316c7-f374-4a9c-aae6-bdd33c32b1ee"/>
    <xsd:import namespace="60648d63-37a4-4678-8ff5-17c78855b4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316c7-f374-4a9c-aae6-bdd33c32b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48d63-37a4-4678-8ff5-17c78855b4cd"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68785-58a3-4fed-84a2-a120d42541e2}" ma:internalName="TaxCatchAll" ma:showField="CatchAllData" ma:web="60648d63-37a4-4678-8ff5-17c78855b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b316c7-f374-4a9c-aae6-bdd33c32b1ee">
      <Terms xmlns="http://schemas.microsoft.com/office/infopath/2007/PartnerControls"/>
    </lcf76f155ced4ddcb4097134ff3c332f>
    <TaxCatchAll xmlns="60648d63-37a4-4678-8ff5-17c78855b4cd" xsi:nil="true"/>
  </documentManagement>
</p:properties>
</file>

<file path=customXml/itemProps1.xml><?xml version="1.0" encoding="utf-8"?>
<ds:datastoreItem xmlns:ds="http://schemas.openxmlformats.org/officeDocument/2006/customXml" ds:itemID="{F79666FC-BB09-48E0-AB60-CFD7EAE29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316c7-f374-4a9c-aae6-bdd33c32b1ee"/>
    <ds:schemaRef ds:uri="60648d63-37a4-4678-8ff5-17c78855b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3DBBE-BA6A-49C5-87FF-2AB65A3A31F3}">
  <ds:schemaRefs>
    <ds:schemaRef ds:uri="http://schemas.microsoft.com/sharepoint/v3/contenttype/forms"/>
  </ds:schemaRefs>
</ds:datastoreItem>
</file>

<file path=customXml/itemProps3.xml><?xml version="1.0" encoding="utf-8"?>
<ds:datastoreItem xmlns:ds="http://schemas.openxmlformats.org/officeDocument/2006/customXml" ds:itemID="{CA18CBF8-3B49-4416-9DDD-B786FE168610}">
  <ds:schemaRefs>
    <ds:schemaRef ds:uri="http://schemas.microsoft.com/office/2006/metadata/properties"/>
    <ds:schemaRef ds:uri="http://schemas.microsoft.com/office/infopath/2007/PartnerControls"/>
    <ds:schemaRef ds:uri="3fb316c7-f374-4a9c-aae6-bdd33c32b1ee"/>
    <ds:schemaRef ds:uri="60648d63-37a4-4678-8ff5-17c78855b4c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499</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Bernaola Alberdi, Amaia</dc:creator>
  <cp:keywords/>
  <dc:description/>
  <cp:lastModifiedBy>Bernaola Alberdi, Amaia</cp:lastModifiedBy>
  <cp:revision>21</cp:revision>
  <dcterms:created xsi:type="dcterms:W3CDTF">2025-10-07T07:57:00Z</dcterms:created>
  <dcterms:modified xsi:type="dcterms:W3CDTF">2026-03-31T07:09:00Z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0x010100D1E76BFB37FAAD40814892B1DE6904C8</vt:lpwstr>
  </property>
  <property fmtid="{D5CDD505-2E9C-101B-9397-08002B2CF9AE}" pid="3" name="MediaServiceImageTags">
    <vt:lpwstr/>
  </property>
</Properties>
</file>