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4250" w14:textId="77777777" w:rsidR="009F541F" w:rsidRDefault="009F541F" w:rsidP="009F541F">
      <w:pPr>
        <w:spacing w:after="0"/>
        <w:ind w:left="537" w:hanging="10"/>
      </w:pPr>
      <w:r>
        <w:rPr>
          <w:sz w:val="44"/>
        </w:rPr>
        <w:t xml:space="preserve">DECLARACIÓN DE ZONAS DE MERCADO RESIDENCIAL TENSIONADO </w:t>
      </w:r>
    </w:p>
    <w:p w14:paraId="03ACA17A" w14:textId="77777777" w:rsidR="009F541F" w:rsidRDefault="009F541F" w:rsidP="009F541F">
      <w:pPr>
        <w:spacing w:after="176"/>
        <w:ind w:left="537" w:hanging="10"/>
      </w:pPr>
    </w:p>
    <w:p w14:paraId="10BB7175" w14:textId="77777777" w:rsidR="009F541F" w:rsidRDefault="009F541F" w:rsidP="009F541F">
      <w:pPr>
        <w:spacing w:after="11" w:line="250" w:lineRule="auto"/>
        <w:ind w:left="552" w:hanging="10"/>
        <w:jc w:val="both"/>
      </w:pPr>
      <w:r>
        <w:rPr>
          <w:rFonts w:ascii="Arial" w:hAnsi="Arial"/>
          <w:b/>
          <w:sz w:val="28"/>
        </w:rPr>
        <w:t>PLAN DE ACCIÓN</w:t>
      </w:r>
    </w:p>
    <w:p w14:paraId="01FC4876" w14:textId="5A7CA84F" w:rsidR="009F541F" w:rsidRDefault="009F541F" w:rsidP="009F541F">
      <w:pPr>
        <w:spacing w:after="4401"/>
        <w:ind w:left="542"/>
      </w:pPr>
      <w:r>
        <w:t>09/04/2025</w:t>
      </w:r>
    </w:p>
    <w:p w14:paraId="467477C3" w14:textId="77777777" w:rsidR="009F541F" w:rsidRDefault="009F541F" w:rsidP="009F541F">
      <w:pPr>
        <w:spacing w:after="41"/>
        <w:ind w:right="288"/>
        <w:jc w:val="right"/>
      </w:pPr>
      <w:r>
        <w:rPr>
          <w:rFonts w:ascii="Liberation Serif" w:hAnsi="Liberation Serif"/>
          <w:sz w:val="16"/>
        </w:rPr>
        <w:t>Aixin Zolua 5, 20304, IRUN</w:t>
      </w:r>
    </w:p>
    <w:p w14:paraId="7D2343B6" w14:textId="77777777" w:rsidR="009F541F" w:rsidRDefault="009F541F" w:rsidP="009F541F">
      <w:pPr>
        <w:spacing w:after="0" w:line="314" w:lineRule="auto"/>
        <w:ind w:left="8068" w:hanging="682"/>
      </w:pPr>
      <w:r>
        <w:rPr>
          <w:rFonts w:ascii="Liberation Serif" w:hAnsi="Liberation Serif"/>
          <w:sz w:val="16"/>
        </w:rPr>
        <w:t>Harrobi Plaza 5, 2, 48003, BILBAO hiritik-at@hiritik-at.eus www.hiritik-at.eus</w:t>
      </w:r>
    </w:p>
    <w:p w14:paraId="4CE9A616" w14:textId="77777777" w:rsidR="009F541F" w:rsidRDefault="009F541F" w:rsidP="009F541F">
      <w:pPr>
        <w:spacing w:after="434"/>
        <w:ind w:left="634"/>
        <w:rPr>
          <w:rFonts w:ascii="Arial" w:eastAsia="Arial" w:hAnsi="Arial" w:cs="Arial"/>
          <w:b/>
          <w:sz w:val="18"/>
        </w:rPr>
      </w:pPr>
      <w:r>
        <w:rPr>
          <w:rFonts w:ascii="Arial" w:hAnsi="Arial"/>
          <w:b/>
          <w:sz w:val="18"/>
        </w:rPr>
        <w:t>Plan de Acción</w:t>
      </w:r>
    </w:p>
    <w:p w14:paraId="3A957555" w14:textId="77777777" w:rsidR="009F541F" w:rsidRDefault="009F541F" w:rsidP="009F541F">
      <w:pPr>
        <w:spacing w:after="492" w:line="265" w:lineRule="auto"/>
        <w:ind w:left="231" w:hanging="10"/>
      </w:pPr>
      <w:r>
        <w:rPr>
          <w:rFonts w:ascii="Arial" w:hAnsi="Arial"/>
          <w:b/>
          <w:color w:val="E66F50"/>
          <w:sz w:val="36"/>
        </w:rPr>
        <w:t>SUMARIO</w:t>
      </w:r>
    </w:p>
    <w:sdt>
      <w:sdtPr>
        <w:rPr>
          <w:rFonts w:ascii="Calibri" w:eastAsia="Calibri" w:hAnsi="Calibri" w:cs="Calibri"/>
          <w:b w:val="0"/>
          <w:sz w:val="22"/>
        </w:rPr>
        <w:id w:val="-1957163344"/>
        <w:docPartObj>
          <w:docPartGallery w:val="Table of Contents"/>
        </w:docPartObj>
      </w:sdtPr>
      <w:sdtEndPr/>
      <w:sdtContent>
        <w:p w14:paraId="0D3D6992" w14:textId="6FB97810" w:rsidR="00C3034F" w:rsidRDefault="009F541F">
          <w:pPr>
            <w:pStyle w:val="TDC1"/>
            <w:tabs>
              <w:tab w:val="right" w:leader="dot" w:pos="9865"/>
            </w:tabs>
            <w:rPr>
              <w:rFonts w:asciiTheme="minorHAnsi" w:eastAsiaTheme="minorEastAsia" w:hAnsiTheme="minorHAnsi" w:cstheme="minorBidi"/>
              <w:b w:val="0"/>
              <w:noProof/>
              <w:color w:val="auto"/>
              <w:kern w:val="0"/>
              <w:sz w:val="22"/>
              <w:szCs w:val="22"/>
              <w14:ligatures w14:val="none"/>
            </w:rPr>
          </w:pPr>
          <w:r>
            <w:fldChar w:fldCharType="begin"/>
          </w:r>
          <w:r>
            <w:instrText xml:space="preserve"> TOC \o "1-3" \h \z \u </w:instrText>
          </w:r>
          <w:r>
            <w:fldChar w:fldCharType="separate"/>
          </w:r>
          <w:hyperlink w:anchor="_Toc198023376" w:history="1">
            <w:r w:rsidR="00C3034F" w:rsidRPr="000F512D">
              <w:rPr>
                <w:rStyle w:val="Hipervnculo"/>
                <w:noProof/>
              </w:rPr>
              <w:t>1. ANTECEDENTES</w:t>
            </w:r>
            <w:r w:rsidR="00C3034F">
              <w:rPr>
                <w:noProof/>
                <w:webHidden/>
              </w:rPr>
              <w:tab/>
            </w:r>
            <w:r w:rsidR="00C3034F">
              <w:rPr>
                <w:noProof/>
                <w:webHidden/>
              </w:rPr>
              <w:fldChar w:fldCharType="begin"/>
            </w:r>
            <w:r w:rsidR="00C3034F">
              <w:rPr>
                <w:noProof/>
                <w:webHidden/>
              </w:rPr>
              <w:instrText xml:space="preserve"> PAGEREF _Toc198023376 \h </w:instrText>
            </w:r>
            <w:r w:rsidR="00C3034F">
              <w:rPr>
                <w:noProof/>
                <w:webHidden/>
              </w:rPr>
            </w:r>
            <w:r w:rsidR="00C3034F">
              <w:rPr>
                <w:noProof/>
                <w:webHidden/>
              </w:rPr>
              <w:fldChar w:fldCharType="separate"/>
            </w:r>
            <w:r w:rsidR="00C3034F">
              <w:rPr>
                <w:noProof/>
                <w:webHidden/>
              </w:rPr>
              <w:t>3</w:t>
            </w:r>
            <w:r w:rsidR="00C3034F">
              <w:rPr>
                <w:noProof/>
                <w:webHidden/>
              </w:rPr>
              <w:fldChar w:fldCharType="end"/>
            </w:r>
          </w:hyperlink>
        </w:p>
        <w:p w14:paraId="0807BB8B" w14:textId="6392DBFD" w:rsidR="00C3034F" w:rsidRDefault="00C3034F">
          <w:pPr>
            <w:pStyle w:val="TDC1"/>
            <w:tabs>
              <w:tab w:val="right" w:leader="dot" w:pos="9865"/>
            </w:tabs>
            <w:rPr>
              <w:rFonts w:asciiTheme="minorHAnsi" w:eastAsiaTheme="minorEastAsia" w:hAnsiTheme="minorHAnsi" w:cstheme="minorBidi"/>
              <w:b w:val="0"/>
              <w:noProof/>
              <w:color w:val="auto"/>
              <w:kern w:val="0"/>
              <w:sz w:val="22"/>
              <w:szCs w:val="22"/>
              <w14:ligatures w14:val="none"/>
            </w:rPr>
          </w:pPr>
          <w:hyperlink w:anchor="_Toc198023377" w:history="1">
            <w:r w:rsidRPr="000F512D">
              <w:rPr>
                <w:rStyle w:val="Hipervnculo"/>
                <w:noProof/>
              </w:rPr>
              <w:t>2. PLAN DE ACCIÓN</w:t>
            </w:r>
            <w:r>
              <w:rPr>
                <w:noProof/>
                <w:webHidden/>
              </w:rPr>
              <w:tab/>
            </w:r>
            <w:r>
              <w:rPr>
                <w:noProof/>
                <w:webHidden/>
              </w:rPr>
              <w:fldChar w:fldCharType="begin"/>
            </w:r>
            <w:r>
              <w:rPr>
                <w:noProof/>
                <w:webHidden/>
              </w:rPr>
              <w:instrText xml:space="preserve"> PAGEREF _Toc198023377 \h </w:instrText>
            </w:r>
            <w:r>
              <w:rPr>
                <w:noProof/>
                <w:webHidden/>
              </w:rPr>
            </w:r>
            <w:r>
              <w:rPr>
                <w:noProof/>
                <w:webHidden/>
              </w:rPr>
              <w:fldChar w:fldCharType="separate"/>
            </w:r>
            <w:r>
              <w:rPr>
                <w:noProof/>
                <w:webHidden/>
              </w:rPr>
              <w:t>6</w:t>
            </w:r>
            <w:r>
              <w:rPr>
                <w:noProof/>
                <w:webHidden/>
              </w:rPr>
              <w:fldChar w:fldCharType="end"/>
            </w:r>
          </w:hyperlink>
        </w:p>
        <w:p w14:paraId="2BB28221" w14:textId="75B5D1E6" w:rsidR="00C3034F" w:rsidRDefault="00C3034F">
          <w:pPr>
            <w:pStyle w:val="TDC3"/>
            <w:tabs>
              <w:tab w:val="right" w:leader="dot" w:pos="9865"/>
            </w:tabs>
            <w:rPr>
              <w:rFonts w:asciiTheme="minorHAnsi" w:eastAsiaTheme="minorEastAsia" w:hAnsiTheme="minorHAnsi" w:cstheme="minorBidi"/>
              <w:noProof/>
              <w:color w:val="auto"/>
              <w:kern w:val="0"/>
              <w:szCs w:val="22"/>
              <w14:ligatures w14:val="none"/>
            </w:rPr>
          </w:pPr>
          <w:hyperlink w:anchor="_Toc198023378" w:history="1">
            <w:r w:rsidRPr="000F512D">
              <w:rPr>
                <w:rStyle w:val="Hipervnculo"/>
                <w:noProof/>
              </w:rPr>
              <w:t>2.1 MISIÓN Y VISIÓN</w:t>
            </w:r>
            <w:r>
              <w:rPr>
                <w:noProof/>
                <w:webHidden/>
              </w:rPr>
              <w:tab/>
            </w:r>
            <w:r>
              <w:rPr>
                <w:noProof/>
                <w:webHidden/>
              </w:rPr>
              <w:fldChar w:fldCharType="begin"/>
            </w:r>
            <w:r>
              <w:rPr>
                <w:noProof/>
                <w:webHidden/>
              </w:rPr>
              <w:instrText xml:space="preserve"> PAGEREF _Toc198023378 \h </w:instrText>
            </w:r>
            <w:r>
              <w:rPr>
                <w:noProof/>
                <w:webHidden/>
              </w:rPr>
            </w:r>
            <w:r>
              <w:rPr>
                <w:noProof/>
                <w:webHidden/>
              </w:rPr>
              <w:fldChar w:fldCharType="separate"/>
            </w:r>
            <w:r>
              <w:rPr>
                <w:noProof/>
                <w:webHidden/>
              </w:rPr>
              <w:t>6</w:t>
            </w:r>
            <w:r>
              <w:rPr>
                <w:noProof/>
                <w:webHidden/>
              </w:rPr>
              <w:fldChar w:fldCharType="end"/>
            </w:r>
          </w:hyperlink>
        </w:p>
        <w:p w14:paraId="7A36F0DF" w14:textId="43220668" w:rsidR="00C3034F" w:rsidRDefault="00C3034F">
          <w:pPr>
            <w:pStyle w:val="TDC3"/>
            <w:tabs>
              <w:tab w:val="right" w:leader="dot" w:pos="9865"/>
            </w:tabs>
            <w:rPr>
              <w:rFonts w:asciiTheme="minorHAnsi" w:eastAsiaTheme="minorEastAsia" w:hAnsiTheme="minorHAnsi" w:cstheme="minorBidi"/>
              <w:noProof/>
              <w:color w:val="auto"/>
              <w:kern w:val="0"/>
              <w:szCs w:val="22"/>
              <w14:ligatures w14:val="none"/>
            </w:rPr>
          </w:pPr>
          <w:hyperlink w:anchor="_Toc198023379" w:history="1">
            <w:r w:rsidRPr="000F512D">
              <w:rPr>
                <w:rStyle w:val="Hipervnculo"/>
                <w:noProof/>
              </w:rPr>
              <w:t>2.2 OBJETIVOS Y PRIORIDADES DEL PLAN</w:t>
            </w:r>
            <w:r>
              <w:rPr>
                <w:noProof/>
                <w:webHidden/>
              </w:rPr>
              <w:tab/>
            </w:r>
            <w:r>
              <w:rPr>
                <w:noProof/>
                <w:webHidden/>
              </w:rPr>
              <w:fldChar w:fldCharType="begin"/>
            </w:r>
            <w:r>
              <w:rPr>
                <w:noProof/>
                <w:webHidden/>
              </w:rPr>
              <w:instrText xml:space="preserve"> PAGEREF _Toc198023379 \h </w:instrText>
            </w:r>
            <w:r>
              <w:rPr>
                <w:noProof/>
                <w:webHidden/>
              </w:rPr>
            </w:r>
            <w:r>
              <w:rPr>
                <w:noProof/>
                <w:webHidden/>
              </w:rPr>
              <w:fldChar w:fldCharType="separate"/>
            </w:r>
            <w:r>
              <w:rPr>
                <w:noProof/>
                <w:webHidden/>
              </w:rPr>
              <w:t>6</w:t>
            </w:r>
            <w:r>
              <w:rPr>
                <w:noProof/>
                <w:webHidden/>
              </w:rPr>
              <w:fldChar w:fldCharType="end"/>
            </w:r>
          </w:hyperlink>
        </w:p>
        <w:p w14:paraId="28C39FDC" w14:textId="14DD3F94" w:rsidR="00C3034F" w:rsidRDefault="00C3034F">
          <w:pPr>
            <w:pStyle w:val="TDC3"/>
            <w:tabs>
              <w:tab w:val="right" w:leader="dot" w:pos="9865"/>
            </w:tabs>
            <w:rPr>
              <w:rFonts w:asciiTheme="minorHAnsi" w:eastAsiaTheme="minorEastAsia" w:hAnsiTheme="minorHAnsi" w:cstheme="minorBidi"/>
              <w:noProof/>
              <w:color w:val="auto"/>
              <w:kern w:val="0"/>
              <w:szCs w:val="22"/>
              <w14:ligatures w14:val="none"/>
            </w:rPr>
          </w:pPr>
          <w:hyperlink w:anchor="_Toc198023380" w:history="1">
            <w:r w:rsidRPr="000F512D">
              <w:rPr>
                <w:rStyle w:val="Hipervnculo"/>
                <w:noProof/>
              </w:rPr>
              <w:t>2.3 ESTRUCTURA DEL PLAN: EJES, ESTRATEGIAS Y LÍNEAS DE ACTUACIÓN</w:t>
            </w:r>
            <w:r>
              <w:rPr>
                <w:noProof/>
                <w:webHidden/>
              </w:rPr>
              <w:tab/>
            </w:r>
            <w:r>
              <w:rPr>
                <w:noProof/>
                <w:webHidden/>
              </w:rPr>
              <w:fldChar w:fldCharType="begin"/>
            </w:r>
            <w:r>
              <w:rPr>
                <w:noProof/>
                <w:webHidden/>
              </w:rPr>
              <w:instrText xml:space="preserve"> PAGEREF _Toc198023380 \h </w:instrText>
            </w:r>
            <w:r>
              <w:rPr>
                <w:noProof/>
                <w:webHidden/>
              </w:rPr>
            </w:r>
            <w:r>
              <w:rPr>
                <w:noProof/>
                <w:webHidden/>
              </w:rPr>
              <w:fldChar w:fldCharType="separate"/>
            </w:r>
            <w:r>
              <w:rPr>
                <w:noProof/>
                <w:webHidden/>
              </w:rPr>
              <w:t>8</w:t>
            </w:r>
            <w:r>
              <w:rPr>
                <w:noProof/>
                <w:webHidden/>
              </w:rPr>
              <w:fldChar w:fldCharType="end"/>
            </w:r>
          </w:hyperlink>
        </w:p>
        <w:p w14:paraId="73D896B5" w14:textId="577ECC51" w:rsidR="00C3034F" w:rsidRDefault="00C3034F">
          <w:pPr>
            <w:pStyle w:val="TDC2"/>
            <w:tabs>
              <w:tab w:val="right" w:leader="dot" w:pos="9865"/>
            </w:tabs>
            <w:rPr>
              <w:rFonts w:asciiTheme="minorHAnsi" w:eastAsiaTheme="minorEastAsia" w:hAnsiTheme="minorHAnsi" w:cstheme="minorBidi"/>
              <w:noProof/>
              <w:color w:val="auto"/>
              <w:kern w:val="0"/>
              <w:szCs w:val="22"/>
              <w14:ligatures w14:val="none"/>
            </w:rPr>
          </w:pPr>
          <w:hyperlink w:anchor="_Toc198023381" w:history="1">
            <w:r w:rsidRPr="000F512D">
              <w:rPr>
                <w:rStyle w:val="Hipervnculo"/>
                <w:noProof/>
              </w:rPr>
              <w:t>1º EJE: FOMENTAR EL ALQUILER ASEQUIBLE</w:t>
            </w:r>
            <w:r>
              <w:rPr>
                <w:noProof/>
                <w:webHidden/>
              </w:rPr>
              <w:tab/>
            </w:r>
            <w:r>
              <w:rPr>
                <w:noProof/>
                <w:webHidden/>
              </w:rPr>
              <w:fldChar w:fldCharType="begin"/>
            </w:r>
            <w:r>
              <w:rPr>
                <w:noProof/>
                <w:webHidden/>
              </w:rPr>
              <w:instrText xml:space="preserve"> PAGEREF _Toc198023381 \h </w:instrText>
            </w:r>
            <w:r>
              <w:rPr>
                <w:noProof/>
                <w:webHidden/>
              </w:rPr>
            </w:r>
            <w:r>
              <w:rPr>
                <w:noProof/>
                <w:webHidden/>
              </w:rPr>
              <w:fldChar w:fldCharType="separate"/>
            </w:r>
            <w:r>
              <w:rPr>
                <w:noProof/>
                <w:webHidden/>
              </w:rPr>
              <w:t>8</w:t>
            </w:r>
            <w:r>
              <w:rPr>
                <w:noProof/>
                <w:webHidden/>
              </w:rPr>
              <w:fldChar w:fldCharType="end"/>
            </w:r>
          </w:hyperlink>
        </w:p>
        <w:p w14:paraId="571A8B26" w14:textId="4379DF17" w:rsidR="00C3034F" w:rsidRDefault="00C3034F">
          <w:pPr>
            <w:pStyle w:val="TDC2"/>
            <w:tabs>
              <w:tab w:val="right" w:leader="dot" w:pos="9865"/>
            </w:tabs>
            <w:rPr>
              <w:rFonts w:asciiTheme="minorHAnsi" w:eastAsiaTheme="minorEastAsia" w:hAnsiTheme="minorHAnsi" w:cstheme="minorBidi"/>
              <w:noProof/>
              <w:color w:val="auto"/>
              <w:kern w:val="0"/>
              <w:szCs w:val="22"/>
              <w14:ligatures w14:val="none"/>
            </w:rPr>
          </w:pPr>
          <w:hyperlink w:anchor="_Toc198023382" w:history="1">
            <w:r w:rsidRPr="000F512D">
              <w:rPr>
                <w:rStyle w:val="Hipervnculo"/>
                <w:noProof/>
              </w:rPr>
              <w:t>2º EJE: ACTUACIONES SOBRE EL PARQUE DE EDIFICIOS DE VIVIENDAS Y LA REHABILITACIÓN URBANA</w:t>
            </w:r>
            <w:r>
              <w:rPr>
                <w:noProof/>
                <w:webHidden/>
              </w:rPr>
              <w:tab/>
            </w:r>
            <w:r>
              <w:rPr>
                <w:noProof/>
                <w:webHidden/>
              </w:rPr>
              <w:fldChar w:fldCharType="begin"/>
            </w:r>
            <w:r>
              <w:rPr>
                <w:noProof/>
                <w:webHidden/>
              </w:rPr>
              <w:instrText xml:space="preserve"> PAGEREF _Toc198023382 \h </w:instrText>
            </w:r>
            <w:r>
              <w:rPr>
                <w:noProof/>
                <w:webHidden/>
              </w:rPr>
            </w:r>
            <w:r>
              <w:rPr>
                <w:noProof/>
                <w:webHidden/>
              </w:rPr>
              <w:fldChar w:fldCharType="separate"/>
            </w:r>
            <w:r>
              <w:rPr>
                <w:noProof/>
                <w:webHidden/>
              </w:rPr>
              <w:t>26</w:t>
            </w:r>
            <w:r>
              <w:rPr>
                <w:noProof/>
                <w:webHidden/>
              </w:rPr>
              <w:fldChar w:fldCharType="end"/>
            </w:r>
          </w:hyperlink>
        </w:p>
        <w:p w14:paraId="30591223" w14:textId="14F069C6" w:rsidR="00C3034F" w:rsidRDefault="00C3034F">
          <w:pPr>
            <w:pStyle w:val="TDC2"/>
            <w:tabs>
              <w:tab w:val="right" w:leader="dot" w:pos="9865"/>
            </w:tabs>
            <w:rPr>
              <w:rFonts w:asciiTheme="minorHAnsi" w:eastAsiaTheme="minorEastAsia" w:hAnsiTheme="minorHAnsi" w:cstheme="minorBidi"/>
              <w:noProof/>
              <w:color w:val="auto"/>
              <w:kern w:val="0"/>
              <w:szCs w:val="22"/>
              <w14:ligatures w14:val="none"/>
            </w:rPr>
          </w:pPr>
          <w:hyperlink w:anchor="_Toc198023383" w:history="1">
            <w:r w:rsidRPr="000F512D">
              <w:rPr>
                <w:rStyle w:val="Hipervnculo"/>
                <w:noProof/>
              </w:rPr>
              <w:t>3º EJE: SISTEMA DE PRESTACIONES Y SUBVENCIONES DE ALQUILER</w:t>
            </w:r>
            <w:r>
              <w:rPr>
                <w:noProof/>
                <w:webHidden/>
              </w:rPr>
              <w:tab/>
            </w:r>
            <w:r>
              <w:rPr>
                <w:noProof/>
                <w:webHidden/>
              </w:rPr>
              <w:fldChar w:fldCharType="begin"/>
            </w:r>
            <w:r>
              <w:rPr>
                <w:noProof/>
                <w:webHidden/>
              </w:rPr>
              <w:instrText xml:space="preserve"> PAGEREF _Toc198023383 \h </w:instrText>
            </w:r>
            <w:r>
              <w:rPr>
                <w:noProof/>
                <w:webHidden/>
              </w:rPr>
            </w:r>
            <w:r>
              <w:rPr>
                <w:noProof/>
                <w:webHidden/>
              </w:rPr>
              <w:fldChar w:fldCharType="separate"/>
            </w:r>
            <w:r>
              <w:rPr>
                <w:noProof/>
                <w:webHidden/>
              </w:rPr>
              <w:t>31</w:t>
            </w:r>
            <w:r>
              <w:rPr>
                <w:noProof/>
                <w:webHidden/>
              </w:rPr>
              <w:fldChar w:fldCharType="end"/>
            </w:r>
          </w:hyperlink>
        </w:p>
        <w:p w14:paraId="6419A0AE" w14:textId="7FDA98D7" w:rsidR="00C3034F" w:rsidRDefault="00C3034F">
          <w:pPr>
            <w:pStyle w:val="TDC2"/>
            <w:tabs>
              <w:tab w:val="right" w:leader="dot" w:pos="9865"/>
            </w:tabs>
            <w:rPr>
              <w:rFonts w:asciiTheme="minorHAnsi" w:eastAsiaTheme="minorEastAsia" w:hAnsiTheme="minorHAnsi" w:cstheme="minorBidi"/>
              <w:noProof/>
              <w:color w:val="auto"/>
              <w:kern w:val="0"/>
              <w:szCs w:val="22"/>
              <w14:ligatures w14:val="none"/>
            </w:rPr>
          </w:pPr>
          <w:hyperlink w:anchor="_Toc198023384" w:history="1">
            <w:r w:rsidRPr="000F512D">
              <w:rPr>
                <w:rStyle w:val="Hipervnculo"/>
                <w:noProof/>
              </w:rPr>
              <w:t>4º EJE:  SISTEMAS DE GOBERNANZA Y COORDINACIÓN INSTITUCIONAL</w:t>
            </w:r>
            <w:r>
              <w:rPr>
                <w:noProof/>
                <w:webHidden/>
              </w:rPr>
              <w:tab/>
            </w:r>
            <w:r>
              <w:rPr>
                <w:noProof/>
                <w:webHidden/>
              </w:rPr>
              <w:fldChar w:fldCharType="begin"/>
            </w:r>
            <w:r>
              <w:rPr>
                <w:noProof/>
                <w:webHidden/>
              </w:rPr>
              <w:instrText xml:space="preserve"> PAGEREF _Toc198023384 \h </w:instrText>
            </w:r>
            <w:r>
              <w:rPr>
                <w:noProof/>
                <w:webHidden/>
              </w:rPr>
            </w:r>
            <w:r>
              <w:rPr>
                <w:noProof/>
                <w:webHidden/>
              </w:rPr>
              <w:fldChar w:fldCharType="separate"/>
            </w:r>
            <w:r>
              <w:rPr>
                <w:noProof/>
                <w:webHidden/>
              </w:rPr>
              <w:t>37</w:t>
            </w:r>
            <w:r>
              <w:rPr>
                <w:noProof/>
                <w:webHidden/>
              </w:rPr>
              <w:fldChar w:fldCharType="end"/>
            </w:r>
          </w:hyperlink>
        </w:p>
        <w:p w14:paraId="4636167E" w14:textId="7A9B5003" w:rsidR="00C3034F" w:rsidRDefault="00C3034F">
          <w:pPr>
            <w:pStyle w:val="TDC1"/>
            <w:tabs>
              <w:tab w:val="right" w:leader="dot" w:pos="9865"/>
            </w:tabs>
            <w:rPr>
              <w:rFonts w:asciiTheme="minorHAnsi" w:eastAsiaTheme="minorEastAsia" w:hAnsiTheme="minorHAnsi" w:cstheme="minorBidi"/>
              <w:b w:val="0"/>
              <w:noProof/>
              <w:color w:val="auto"/>
              <w:kern w:val="0"/>
              <w:sz w:val="22"/>
              <w:szCs w:val="22"/>
              <w14:ligatures w14:val="none"/>
            </w:rPr>
          </w:pPr>
          <w:hyperlink w:anchor="_Toc198023385" w:history="1">
            <w:r w:rsidRPr="000F512D">
              <w:rPr>
                <w:rStyle w:val="Hipervnculo"/>
                <w:noProof/>
              </w:rPr>
              <w:t>3. CRONOGRAMA</w:t>
            </w:r>
            <w:r>
              <w:rPr>
                <w:noProof/>
                <w:webHidden/>
              </w:rPr>
              <w:tab/>
            </w:r>
            <w:r>
              <w:rPr>
                <w:noProof/>
                <w:webHidden/>
              </w:rPr>
              <w:fldChar w:fldCharType="begin"/>
            </w:r>
            <w:r>
              <w:rPr>
                <w:noProof/>
                <w:webHidden/>
              </w:rPr>
              <w:instrText xml:space="preserve"> PAGEREF _Toc198023385 \h </w:instrText>
            </w:r>
            <w:r>
              <w:rPr>
                <w:noProof/>
                <w:webHidden/>
              </w:rPr>
            </w:r>
            <w:r>
              <w:rPr>
                <w:noProof/>
                <w:webHidden/>
              </w:rPr>
              <w:fldChar w:fldCharType="separate"/>
            </w:r>
            <w:r>
              <w:rPr>
                <w:noProof/>
                <w:webHidden/>
              </w:rPr>
              <w:t>40</w:t>
            </w:r>
            <w:r>
              <w:rPr>
                <w:noProof/>
                <w:webHidden/>
              </w:rPr>
              <w:fldChar w:fldCharType="end"/>
            </w:r>
          </w:hyperlink>
        </w:p>
        <w:p w14:paraId="55FB3ECB" w14:textId="2409AD1A" w:rsidR="009F541F" w:rsidRDefault="009F541F" w:rsidP="009F541F">
          <w:r>
            <w:fldChar w:fldCharType="end"/>
          </w:r>
        </w:p>
      </w:sdtContent>
    </w:sdt>
    <w:p w14:paraId="22A4CEA9" w14:textId="77777777" w:rsidR="009F541F" w:rsidRDefault="009F541F" w:rsidP="009F541F">
      <w:pPr>
        <w:spacing w:after="252" w:line="250" w:lineRule="auto"/>
        <w:ind w:left="246" w:hanging="10"/>
        <w:jc w:val="both"/>
      </w:pPr>
      <w:r>
        <w:br w:type="page"/>
      </w:r>
    </w:p>
    <w:p w14:paraId="2798E5DD" w14:textId="77777777" w:rsidR="009F541F" w:rsidRDefault="009F541F" w:rsidP="009F541F">
      <w:pPr>
        <w:pStyle w:val="Ttulo1"/>
        <w:spacing w:after="576" w:line="265" w:lineRule="auto"/>
        <w:ind w:left="231"/>
      </w:pPr>
      <w:bookmarkStart w:id="0" w:name="_Toc198023376"/>
      <w:r>
        <w:rPr>
          <w:rFonts w:ascii="Arial" w:hAnsi="Arial"/>
          <w:color w:val="E66F50"/>
        </w:rPr>
        <w:t>1. ANTECEDENTES</w:t>
      </w:r>
      <w:bookmarkEnd w:id="0"/>
    </w:p>
    <w:p w14:paraId="2FB7192A" w14:textId="77777777" w:rsidR="009F541F" w:rsidRDefault="009F541F" w:rsidP="009F541F">
      <w:pPr>
        <w:spacing w:after="107"/>
        <w:ind w:left="-5" w:hanging="10"/>
        <w:jc w:val="both"/>
      </w:pPr>
      <w:r>
        <w:rPr>
          <w:rFonts w:ascii="Arial" w:hAnsi="Arial"/>
        </w:rPr>
        <w:t>La Ley 12/2023, de 24 de mayo, por el derecho a la vivienda, aprobada el año pasado por el Congreso de los Diputados, ha abierto el camino para la declaración de varios municipios como zonas de mercado residencial tensionado (en adelante, ZMRT).</w:t>
      </w:r>
    </w:p>
    <w:p w14:paraId="1E4D3DD8" w14:textId="77777777" w:rsidR="009F541F" w:rsidRDefault="009F541F" w:rsidP="009F541F">
      <w:pPr>
        <w:spacing w:after="375" w:line="360" w:lineRule="auto"/>
        <w:ind w:left="-5" w:right="286" w:hanging="10"/>
        <w:jc w:val="both"/>
      </w:pPr>
      <w:r>
        <w:rPr>
          <w:rFonts w:ascii="Arial" w:hAnsi="Arial"/>
        </w:rPr>
        <w:t xml:space="preserve"> De acuerdo con el artículo 18 de la citada Ley, los municipios que reúnan las características definidas en la misma podrán solicitar formalmente la declaración de ZMRT. Si se lograra la declaración, dichos ayuntamientos tendrán competencias para establecer una serie de medidas que incidan en el mercado de la vivienda. </w:t>
      </w:r>
    </w:p>
    <w:p w14:paraId="144A5C4A" w14:textId="77777777" w:rsidR="009F541F" w:rsidRDefault="009F541F" w:rsidP="009F541F">
      <w:pPr>
        <w:spacing w:after="375" w:line="360" w:lineRule="auto"/>
        <w:ind w:left="-5" w:hanging="10"/>
        <w:jc w:val="both"/>
      </w:pPr>
      <w:r>
        <w:rPr>
          <w:rFonts w:ascii="Arial" w:hAnsi="Arial"/>
        </w:rPr>
        <w:t>En este contexto, el Observatorio Vasco de la Vivienda ha realizado un trabajo previo en la determinación de los municipios de la Comunidad Autónoma del País Vasco que pueden acogerse a los citados criterios.</w:t>
      </w:r>
    </w:p>
    <w:p w14:paraId="03C34E0A" w14:textId="77777777" w:rsidR="009F541F" w:rsidRDefault="009F541F" w:rsidP="009F541F">
      <w:pPr>
        <w:spacing w:after="415" w:line="360" w:lineRule="auto"/>
        <w:ind w:left="-5" w:hanging="10"/>
        <w:jc w:val="both"/>
      </w:pPr>
      <w:r>
        <w:rPr>
          <w:rFonts w:ascii="Arial" w:hAnsi="Arial"/>
        </w:rPr>
        <w:t xml:space="preserve">En el caso del Ayuntamiento de Zestoa, la Ley 12/2023 ha establecido dos criterios principales para la declaración de Zona Residencial Tensionada, que son los siguientes:  </w:t>
      </w:r>
    </w:p>
    <w:p w14:paraId="76959039" w14:textId="77777777" w:rsidR="009F541F" w:rsidRDefault="009F541F" w:rsidP="009F541F">
      <w:pPr>
        <w:numPr>
          <w:ilvl w:val="0"/>
          <w:numId w:val="1"/>
        </w:numPr>
        <w:spacing w:after="36" w:line="360" w:lineRule="auto"/>
        <w:ind w:hanging="360"/>
        <w:jc w:val="both"/>
      </w:pPr>
      <w:r>
        <w:rPr>
          <w:rFonts w:ascii="Arial" w:hAnsi="Arial"/>
        </w:rPr>
        <w:t>Que la carga media del coste de la hipoteca o del alquiler en el presupuesto personal o de la unidad de convivencia, más los gastos y suministros básicos, supere el treinta por ciento de los ingresos medios o de la renta media de los hogares.</w:t>
      </w:r>
    </w:p>
    <w:p w14:paraId="62CADC8E" w14:textId="77777777" w:rsidR="009F541F" w:rsidRDefault="009F541F" w:rsidP="009F541F">
      <w:pPr>
        <w:numPr>
          <w:ilvl w:val="0"/>
          <w:numId w:val="1"/>
        </w:numPr>
        <w:spacing w:after="375" w:line="360" w:lineRule="auto"/>
        <w:ind w:hanging="360"/>
        <w:jc w:val="both"/>
      </w:pPr>
      <w:r>
        <w:rPr>
          <w:rFonts w:ascii="Arial" w:hAnsi="Arial"/>
        </w:rPr>
        <w:t>Que el precio de compra o alquiler de la vivienda haya experimentado en los cinco años anteriores a la declaración como área de mercado de vivienda tensionado un porcentaje de crecimiento acumulado al menos tres puntos porcentuales superior al porcentaje de crecimiento acumulado del índice de precios de consumo de la comunidad autónoma correspondiente.</w:t>
      </w:r>
    </w:p>
    <w:p w14:paraId="1B7C2B8C" w14:textId="77777777" w:rsidR="009F541F" w:rsidRDefault="009F541F" w:rsidP="009F541F">
      <w:pPr>
        <w:spacing w:after="415" w:line="360" w:lineRule="auto"/>
        <w:ind w:left="-5" w:right="286" w:hanging="10"/>
        <w:jc w:val="both"/>
      </w:pPr>
      <w:r>
        <w:rPr>
          <w:rFonts w:ascii="Arial" w:hAnsi="Arial"/>
        </w:rPr>
        <w:t>Con el fin de incoar el procedimiento formal para obtener dicha declaración y dar cumplimiento a lo previsto en el artículo 18 de dicha Ley, el Gobierno Vasco, a través del Observatorio de la Vivienda, ha elaborado y remitido un protocolo a los ayuntamientos que reúnen las condiciones necesarias. En el mismo se indica que hay que presentar dos documentos al Departamento de Vivienda del Gobierno Vasco. Son los siguientes:</w:t>
      </w:r>
    </w:p>
    <w:p w14:paraId="059F6C49" w14:textId="77777777" w:rsidR="009F541F" w:rsidRDefault="009F541F" w:rsidP="009F541F">
      <w:pPr>
        <w:numPr>
          <w:ilvl w:val="0"/>
          <w:numId w:val="1"/>
        </w:numPr>
        <w:spacing w:after="35" w:line="360" w:lineRule="auto"/>
        <w:ind w:hanging="360"/>
        <w:jc w:val="both"/>
      </w:pPr>
      <w:r>
        <w:rPr>
          <w:rFonts w:ascii="Arial" w:hAnsi="Arial"/>
        </w:rPr>
        <w:t>Diagnóstico sobre la vivienda: en el mismo se presentará de forma estructurada toda la información obtenida en el procedimiento de elaboración previsto en el artículo 18.2.a).</w:t>
      </w:r>
    </w:p>
    <w:p w14:paraId="5009D880" w14:textId="77777777" w:rsidR="009F541F" w:rsidRDefault="009F541F" w:rsidP="009F541F">
      <w:pPr>
        <w:numPr>
          <w:ilvl w:val="0"/>
          <w:numId w:val="1"/>
        </w:numPr>
        <w:spacing w:after="375" w:line="360" w:lineRule="auto"/>
        <w:ind w:hanging="360"/>
        <w:jc w:val="both"/>
      </w:pPr>
      <w:r>
        <w:rPr>
          <w:rFonts w:ascii="Arial" w:hAnsi="Arial"/>
        </w:rPr>
        <w:t>Plan de Acción que planificará las acciones específicas de las medidas concretas a implementar para corregir los desequilibrios detectados en la zona designada como zona de tensión, así como un plan de desarrollo para los tres años de vigencia de la designación.</w:t>
      </w:r>
    </w:p>
    <w:p w14:paraId="24C3983E" w14:textId="77777777" w:rsidR="009F541F" w:rsidRDefault="009F541F" w:rsidP="009F541F">
      <w:pPr>
        <w:sectPr w:rsidR="009F541F" w:rsidSect="009F541F">
          <w:headerReference w:type="even" r:id="rId10"/>
          <w:headerReference w:type="default" r:id="rId11"/>
          <w:footerReference w:type="even" r:id="rId12"/>
          <w:footerReference w:type="default" r:id="rId13"/>
          <w:headerReference w:type="first" r:id="rId14"/>
          <w:footerReference w:type="first" r:id="rId15"/>
          <w:pgSz w:w="11906" w:h="16838"/>
          <w:pgMar w:top="1141" w:right="1131" w:bottom="981" w:left="900" w:header="720" w:footer="1" w:gutter="0"/>
          <w:pgNumType w:start="1"/>
          <w:cols w:space="720"/>
          <w:titlePg/>
        </w:sectPr>
      </w:pPr>
    </w:p>
    <w:p w14:paraId="7EB45205" w14:textId="77777777" w:rsidR="009F541F" w:rsidRDefault="009F541F" w:rsidP="009F541F">
      <w:pPr>
        <w:spacing w:after="375" w:line="360" w:lineRule="auto"/>
        <w:ind w:left="730" w:hanging="10"/>
        <w:jc w:val="both"/>
      </w:pPr>
    </w:p>
    <w:p w14:paraId="66BB7F4D" w14:textId="77777777" w:rsidR="009F541F" w:rsidRDefault="009F541F" w:rsidP="009F541F">
      <w:pPr>
        <w:spacing w:after="375" w:line="360" w:lineRule="auto"/>
        <w:ind w:left="-5" w:right="283" w:hanging="10"/>
        <w:jc w:val="both"/>
      </w:pPr>
      <w:r>
        <w:rPr>
          <w:rFonts w:ascii="Arial" w:hAnsi="Arial"/>
        </w:rPr>
        <w:t>En definitiva, el objetivo principal del Plan de Acción que se expone en las páginas siguientes es definir las medidas que formarán parte del Plan de Acción para paliar y remediar las carencias detectadas en la oferta de vivienda asequible de Zestoa. Algunas de las medidas recogidas en el plan son las ya vigentes, y se prevé que tengan la evolución mencionada dentro del plan. Otras medidas se adoptarán una vez obtenida la declaración como ZMRT.</w:t>
      </w:r>
    </w:p>
    <w:p w14:paraId="420FA5FB" w14:textId="77777777" w:rsidR="009F541F" w:rsidRDefault="009F541F" w:rsidP="009F541F">
      <w:pPr>
        <w:spacing w:after="375" w:line="360" w:lineRule="auto"/>
        <w:ind w:left="-5" w:right="288" w:hanging="10"/>
        <w:jc w:val="both"/>
      </w:pPr>
      <w:r>
        <w:rPr>
          <w:rFonts w:ascii="Arial" w:hAnsi="Arial"/>
        </w:rPr>
        <w:t xml:space="preserve">Para la realización de este plan de acción, nos hemos centrado en dos pre-elaboraciones. En primer lugar, se han analizado y evaluado los planes especiales e intervenciones en materia de vivienda propuestos y realizados por el Ayuntamiento de Zestoa en los últimos años. En segundo lugar, se analizan los fundamentos jurídicos sobre los que incidir en materia de vivienda. </w:t>
      </w:r>
    </w:p>
    <w:p w14:paraId="6D5F756F" w14:textId="77777777" w:rsidR="009F541F" w:rsidRDefault="009F541F" w:rsidP="009F541F">
      <w:pPr>
        <w:spacing w:after="375" w:line="360" w:lineRule="auto"/>
        <w:ind w:left="-5" w:right="285" w:hanging="10"/>
        <w:jc w:val="both"/>
      </w:pPr>
      <w:r>
        <w:rPr>
          <w:rFonts w:ascii="Arial" w:hAnsi="Arial"/>
        </w:rPr>
        <w:t>Relacionado con ese punto, hay que tener en cuenta el marco competencial que en materia de vivienda establece la Ley 3/2015 de Vivienda del País Vasco, que destaca la necesidad de colaboración y coordinación entre las instituciones autonómicas y locales para el desarrollo de las políticas públicas en materia de vivienda. De hecho, al igual que ocurre con la promoción de Vivienda de Protección Pública, a menudo, las administraciones locales y autonómicas se solapan en la ejecución de las políticas públicas.</w:t>
      </w:r>
    </w:p>
    <w:p w14:paraId="022908B5" w14:textId="77777777" w:rsidR="009F541F" w:rsidRDefault="009F541F" w:rsidP="009F541F">
      <w:pPr>
        <w:spacing w:after="375" w:line="360" w:lineRule="auto"/>
        <w:ind w:left="-5" w:right="284" w:hanging="10"/>
        <w:jc w:val="both"/>
      </w:pPr>
      <w:r>
        <w:rPr>
          <w:rFonts w:ascii="Arial" w:hAnsi="Arial"/>
        </w:rPr>
        <w:t xml:space="preserve">Se trata, por tanto, de un plan de acción a presentar al Gobierno y consensuar con éste. Todo ello tiene como objetivo hacer frente y resolver las carencias identificadas en la oferta de vivienda asequible del municipio. O, más concretamente, contribuir a dar un paso más en la garantía del derecho de todos y cada uno de los conciudadanos a vivir en una vivienda digna.  </w:t>
      </w:r>
    </w:p>
    <w:p w14:paraId="7B3FB216" w14:textId="77777777" w:rsidR="009F541F" w:rsidRDefault="009F541F" w:rsidP="009F541F">
      <w:pPr>
        <w:spacing w:after="417" w:line="360" w:lineRule="auto"/>
        <w:ind w:left="-5" w:hanging="10"/>
        <w:jc w:val="both"/>
      </w:pPr>
      <w:r>
        <w:rPr>
          <w:rFonts w:ascii="Arial" w:hAnsi="Arial"/>
        </w:rPr>
        <w:t>Según el modelo elaborado por el Observatorio Vasco de la Vivienda, el Plan de Acción se estructura en los siguientes apartados:</w:t>
      </w:r>
    </w:p>
    <w:p w14:paraId="559FE7E2" w14:textId="04E6AA4C" w:rsidR="009F541F" w:rsidRDefault="009F541F" w:rsidP="009F541F">
      <w:pPr>
        <w:numPr>
          <w:ilvl w:val="0"/>
          <w:numId w:val="2"/>
        </w:numPr>
        <w:spacing w:after="117"/>
        <w:ind w:hanging="360"/>
        <w:jc w:val="both"/>
      </w:pPr>
      <w:r>
        <w:rPr>
          <w:rFonts w:ascii="Arial" w:hAnsi="Arial"/>
          <w:b/>
          <w:bCs/>
        </w:rPr>
        <w:t>Misión y visión</w:t>
      </w:r>
      <w:r>
        <w:rPr>
          <w:rFonts w:ascii="Arial" w:hAnsi="Arial"/>
        </w:rPr>
        <w:t xml:space="preserve">: se definirán los objetivos principales del plan, el espíritu </w:t>
      </w:r>
      <w:r w:rsidR="004E4E7D">
        <w:rPr>
          <w:rFonts w:ascii="Arial" w:hAnsi="Arial"/>
        </w:rPr>
        <w:t>de este</w:t>
      </w:r>
      <w:r>
        <w:rPr>
          <w:rFonts w:ascii="Arial" w:hAnsi="Arial"/>
        </w:rPr>
        <w:t>.</w:t>
      </w:r>
    </w:p>
    <w:p w14:paraId="728FBD9D" w14:textId="77777777" w:rsidR="009F541F" w:rsidRDefault="009F541F" w:rsidP="009F541F">
      <w:pPr>
        <w:numPr>
          <w:ilvl w:val="0"/>
          <w:numId w:val="2"/>
        </w:numPr>
        <w:spacing w:after="35" w:line="360" w:lineRule="auto"/>
        <w:ind w:hanging="360"/>
        <w:jc w:val="both"/>
      </w:pPr>
      <w:r>
        <w:rPr>
          <w:rFonts w:ascii="Arial" w:hAnsi="Arial"/>
          <w:b/>
          <w:bCs/>
        </w:rPr>
        <w:t>Objetivos y prioridades</w:t>
      </w:r>
      <w:r>
        <w:rPr>
          <w:rFonts w:ascii="Arial" w:hAnsi="Arial"/>
        </w:rPr>
        <w:t>: el rumbo se definirá en objetivos concretos, así como estableciendo prioridades.</w:t>
      </w:r>
    </w:p>
    <w:p w14:paraId="0F6A1B30" w14:textId="77777777" w:rsidR="009F541F" w:rsidRDefault="009F541F" w:rsidP="009F541F">
      <w:pPr>
        <w:numPr>
          <w:ilvl w:val="0"/>
          <w:numId w:val="2"/>
        </w:numPr>
        <w:spacing w:after="375" w:line="360" w:lineRule="auto"/>
        <w:ind w:hanging="360"/>
        <w:jc w:val="both"/>
      </w:pPr>
      <w:r>
        <w:rPr>
          <w:rFonts w:ascii="Arial" w:hAnsi="Arial"/>
          <w:b/>
        </w:rPr>
        <w:t xml:space="preserve">- Ejes, estrategias y acciones: </w:t>
      </w:r>
      <w:r>
        <w:rPr>
          <w:rFonts w:ascii="Arial" w:hAnsi="Arial"/>
        </w:rPr>
        <w:t>Siguiendo las recomendaciones del Observatorio, el contenido del informe se desarrollará a través del desarrollo de cuatro áreas de trabajo. Se trata del amplio conjunto de políticas de fomento del alquiler asequible, del sistema de prestaciones y subvenciones al alquiler, de las actuaciones sobre el parque de edificios residenciales y la rehabilitación urbana y, por último, de los sistemas de gobernanza y coordinación institucional.</w:t>
      </w:r>
    </w:p>
    <w:p w14:paraId="74A1AA52" w14:textId="77777777" w:rsidR="009F541F" w:rsidRDefault="009F541F" w:rsidP="009F541F">
      <w:pPr>
        <w:spacing w:after="375" w:line="360" w:lineRule="auto"/>
        <w:ind w:left="-5" w:hanging="10"/>
        <w:jc w:val="both"/>
      </w:pPr>
      <w:r>
        <w:rPr>
          <w:rFonts w:ascii="Arial" w:hAnsi="Arial"/>
        </w:rPr>
        <w:t>Para la elaboración del Plan de Acción, además del establecimiento de medidas entre los responsables políticos y técnicos del Ayuntamiento, como se ha comentado anteriormente, se han analizado las posibilidades que ofrecen las siguientes leyes:</w:t>
      </w:r>
    </w:p>
    <w:p w14:paraId="790FFA3B" w14:textId="77777777" w:rsidR="009F541F" w:rsidRDefault="009F541F" w:rsidP="009F541F">
      <w:pPr>
        <w:spacing w:after="107"/>
        <w:ind w:left="246" w:hanging="10"/>
        <w:jc w:val="both"/>
      </w:pPr>
      <w:r>
        <w:rPr>
          <w:rFonts w:ascii="Arial" w:hAnsi="Arial"/>
        </w:rPr>
        <w:t>- Ley 2/2006, de 30 de junio, de Suelo y Urbanismo.</w:t>
      </w:r>
    </w:p>
    <w:p w14:paraId="74FF9FBE" w14:textId="77777777" w:rsidR="009F541F" w:rsidRDefault="009F541F" w:rsidP="009F541F">
      <w:pPr>
        <w:spacing w:after="105"/>
        <w:ind w:left="246" w:hanging="10"/>
        <w:jc w:val="both"/>
      </w:pPr>
      <w:r>
        <w:rPr>
          <w:rFonts w:ascii="Arial" w:hAnsi="Arial"/>
        </w:rPr>
        <w:t>- Ley 3/2015, de 18 de junio, de Vivienda.</w:t>
      </w:r>
    </w:p>
    <w:p w14:paraId="0DA03509" w14:textId="77777777" w:rsidR="009F541F" w:rsidRDefault="009F541F" w:rsidP="009F541F">
      <w:pPr>
        <w:spacing w:after="1" w:line="360" w:lineRule="auto"/>
        <w:ind w:left="956" w:hanging="720"/>
        <w:jc w:val="both"/>
      </w:pPr>
      <w:r>
        <w:rPr>
          <w:rFonts w:ascii="Arial" w:hAnsi="Arial"/>
        </w:rPr>
        <w:t>- Decreto 80/2022, de 28 de junio, de regulación de las condiciones mínimas de habitabilidad y normas de diseño de las viviendas y alojamientos dotacionales en la Comunidad Autónoma del País Vasco.</w:t>
      </w:r>
    </w:p>
    <w:p w14:paraId="561F5B3B" w14:textId="77777777" w:rsidR="009F541F" w:rsidRDefault="009F541F" w:rsidP="009F541F">
      <w:pPr>
        <w:spacing w:after="1" w:line="360" w:lineRule="auto"/>
        <w:ind w:left="956" w:hanging="720"/>
        <w:jc w:val="both"/>
      </w:pPr>
      <w:r>
        <w:rPr>
          <w:rFonts w:ascii="Arial" w:hAnsi="Arial"/>
        </w:rPr>
        <w:t>- Decreto 149/2021, de 8 de junio, de vivienda deshabitada y de medidas para el cumplimiento de la función social de la vivienda.</w:t>
      </w:r>
    </w:p>
    <w:p w14:paraId="0BFBD2C9" w14:textId="77777777" w:rsidR="009F541F" w:rsidRDefault="009F541F" w:rsidP="009F541F">
      <w:pPr>
        <w:spacing w:after="375"/>
        <w:ind w:left="246" w:hanging="10"/>
        <w:jc w:val="both"/>
      </w:pPr>
      <w:r>
        <w:rPr>
          <w:rFonts w:ascii="Arial" w:hAnsi="Arial"/>
        </w:rPr>
        <w:t>- Ley 12/2023, de 24 de mayo, sobre el derecho a la vivienda.</w:t>
      </w:r>
      <w:r>
        <w:br w:type="page"/>
      </w:r>
    </w:p>
    <w:p w14:paraId="56D20F28" w14:textId="77777777" w:rsidR="009F541F" w:rsidRDefault="009F541F" w:rsidP="009F541F">
      <w:pPr>
        <w:pStyle w:val="Ttulo1"/>
        <w:spacing w:after="366" w:line="265" w:lineRule="auto"/>
        <w:ind w:left="231"/>
      </w:pPr>
      <w:bookmarkStart w:id="1" w:name="_Toc198023377"/>
      <w:r>
        <w:rPr>
          <w:rFonts w:ascii="Arial" w:hAnsi="Arial"/>
          <w:color w:val="E66F50"/>
        </w:rPr>
        <w:t>2. PLAN DE ACCIÓN</w:t>
      </w:r>
      <w:bookmarkEnd w:id="1"/>
    </w:p>
    <w:p w14:paraId="539C5CD4" w14:textId="77777777" w:rsidR="009F541F" w:rsidRDefault="009F541F" w:rsidP="009F541F">
      <w:pPr>
        <w:pStyle w:val="Ttulo3"/>
        <w:spacing w:after="321"/>
      </w:pPr>
      <w:bookmarkStart w:id="2" w:name="_Toc198023378"/>
      <w:r>
        <w:t>2.1 MISIÓN Y VISIÓN</w:t>
      </w:r>
      <w:bookmarkEnd w:id="2"/>
    </w:p>
    <w:p w14:paraId="30A20F0D" w14:textId="77777777" w:rsidR="009F541F" w:rsidRDefault="009F541F" w:rsidP="009F541F">
      <w:pPr>
        <w:spacing w:after="375" w:line="360" w:lineRule="auto"/>
        <w:ind w:left="246" w:hanging="10"/>
        <w:jc w:val="both"/>
      </w:pPr>
      <w:r>
        <w:rPr>
          <w:rFonts w:ascii="Arial" w:hAnsi="Arial"/>
        </w:rPr>
        <w:t>La definición de la misión y de la visión de este plan consiste en detallar su objetivo y funciones principales, dotando así a la planificación de una visión integral y finalista. De este modo, el plan que el Ayuntamiento de Zestoa pretende ejecutar en los próximos tres años tendrá la siguiente misión y visión:</w:t>
      </w:r>
    </w:p>
    <w:p w14:paraId="54283DFD" w14:textId="77777777" w:rsidR="009F541F" w:rsidRDefault="009F541F" w:rsidP="009F541F">
      <w:pPr>
        <w:spacing w:after="375" w:line="360" w:lineRule="auto"/>
        <w:ind w:left="246" w:hanging="10"/>
        <w:jc w:val="both"/>
      </w:pPr>
      <w:r>
        <w:rPr>
          <w:rFonts w:ascii="Arial" w:hAnsi="Arial"/>
          <w:b/>
        </w:rPr>
        <w:t>MISIÓN:</w:t>
      </w:r>
      <w:r>
        <w:rPr>
          <w:rFonts w:ascii="Arial" w:hAnsi="Arial"/>
        </w:rPr>
        <w:t xml:space="preserve"> Proponer, acordar y crear condiciones para ejecutar medidas para el desarrollo de políticas municipales de vivienda dirigidas a satisfacer las necesidades de vivienda de la población de Zestoa, con el fin de garantizar el acceso de la población a una vivienda digna y asequible.</w:t>
      </w:r>
    </w:p>
    <w:p w14:paraId="26DEEBB4" w14:textId="77777777" w:rsidR="009F541F" w:rsidRDefault="009F541F" w:rsidP="009F541F">
      <w:pPr>
        <w:spacing w:after="711" w:line="360" w:lineRule="auto"/>
        <w:ind w:left="246" w:hanging="10"/>
        <w:jc w:val="both"/>
      </w:pPr>
      <w:r>
        <w:rPr>
          <w:rFonts w:ascii="Arial" w:hAnsi="Arial"/>
          <w:b/>
        </w:rPr>
        <w:t xml:space="preserve">VISIÓN: </w:t>
      </w:r>
      <w:r>
        <w:rPr>
          <w:rFonts w:ascii="Arial" w:hAnsi="Arial"/>
        </w:rPr>
        <w:t xml:space="preserve"> La visión de este plan se centra en proponer las medidas pertinentes para satisfacer las necesidades de la ciudadanía de Zestoa y garantizar la función social de la vivienda. Se trata de que la población pueda acceder a una vivienda en condiciones dignas y razonables, con un esfuerzo económico inferior al 30% de los ingresos de la unidad convivencial. Al mismo tiempo, se pretende preservar las condiciones de vida de la población y mejorar la cohesión social del municipio a través de intervenciones como la implantación equilibrada de diferentes tipos de vivienda, o posibilitando la participación ciudadana en el diseño y la materialización de las políticas de vivienda.</w:t>
      </w:r>
    </w:p>
    <w:p w14:paraId="5105153B" w14:textId="77777777" w:rsidR="009F541F" w:rsidRDefault="009F541F" w:rsidP="009F541F">
      <w:pPr>
        <w:pStyle w:val="Ttulo3"/>
        <w:spacing w:after="379"/>
      </w:pPr>
      <w:bookmarkStart w:id="3" w:name="_Toc198023379"/>
      <w:r>
        <w:t>2.2 OBJETIVOS Y PRIORIDADES DEL PLAN</w:t>
      </w:r>
      <w:bookmarkEnd w:id="3"/>
    </w:p>
    <w:p w14:paraId="4B0C6527" w14:textId="77777777" w:rsidR="009F541F" w:rsidRDefault="009F541F" w:rsidP="009F541F">
      <w:pPr>
        <w:spacing w:after="252" w:line="250" w:lineRule="auto"/>
        <w:ind w:left="246" w:hanging="10"/>
        <w:jc w:val="both"/>
      </w:pPr>
      <w:r>
        <w:rPr>
          <w:rFonts w:ascii="Arial" w:hAnsi="Arial"/>
          <w:b/>
          <w:sz w:val="28"/>
        </w:rPr>
        <w:t>1. PRIORIDAD. AMPLIACIÓN DEL PARQUE PÚBLICO DE ALQUILER</w:t>
      </w:r>
    </w:p>
    <w:p w14:paraId="35917883" w14:textId="77777777" w:rsidR="009F541F" w:rsidRDefault="009F541F" w:rsidP="009F541F">
      <w:pPr>
        <w:spacing w:after="437" w:line="360" w:lineRule="auto"/>
        <w:ind w:left="246" w:hanging="10"/>
        <w:jc w:val="both"/>
      </w:pPr>
      <w:r>
        <w:rPr>
          <w:rFonts w:ascii="Arial" w:hAnsi="Arial"/>
        </w:rPr>
        <w:t>Incrementar la disponibilidad de vivienda para los ciudadanos de Zestoa en el mercado inmobiliario, garantizando su mantenimiento a precios y en condiciones asequibles. Asimismo, minimizar el esfuerzo económico de la ciudadanía ya emancipada, implantando medidas para el fomento del alquiler. Para ello será necesario incrementar el parque público de alquiler.</w:t>
      </w:r>
    </w:p>
    <w:p w14:paraId="28C91049" w14:textId="77777777" w:rsidR="009F541F" w:rsidRDefault="009F541F" w:rsidP="009F541F">
      <w:pPr>
        <w:numPr>
          <w:ilvl w:val="0"/>
          <w:numId w:val="3"/>
        </w:numPr>
        <w:spacing w:after="252" w:line="250" w:lineRule="auto"/>
        <w:ind w:hanging="309"/>
        <w:jc w:val="both"/>
      </w:pPr>
      <w:r>
        <w:rPr>
          <w:rFonts w:ascii="Arial" w:hAnsi="Arial"/>
          <w:b/>
          <w:sz w:val="28"/>
        </w:rPr>
        <w:t xml:space="preserve">PRIORIDAD. RECUPERACIÓN DE LA FUNCIÓN SOCIAL DE LA VIVIENDA VACÍA </w:t>
      </w:r>
    </w:p>
    <w:p w14:paraId="44827A11" w14:textId="77777777" w:rsidR="009F541F" w:rsidRDefault="009F541F" w:rsidP="009F541F">
      <w:pPr>
        <w:spacing w:after="435" w:line="360" w:lineRule="auto"/>
        <w:ind w:left="246" w:hanging="10"/>
        <w:jc w:val="both"/>
      </w:pPr>
      <w:r>
        <w:rPr>
          <w:rFonts w:ascii="Arial" w:hAnsi="Arial"/>
        </w:rPr>
        <w:t>Identificación de viviendas vacías en el municipio de Zestoa para su movilización al parque de alquiler, siguiendo el recorrido que establece para ello el Decreto 149/2021.</w:t>
      </w:r>
    </w:p>
    <w:p w14:paraId="5C91A4D5" w14:textId="77777777" w:rsidR="009F541F" w:rsidRDefault="009F541F" w:rsidP="009F541F">
      <w:pPr>
        <w:numPr>
          <w:ilvl w:val="0"/>
          <w:numId w:val="3"/>
        </w:numPr>
        <w:spacing w:after="252" w:line="250" w:lineRule="auto"/>
        <w:ind w:hanging="309"/>
        <w:jc w:val="both"/>
      </w:pPr>
      <w:r>
        <w:rPr>
          <w:rFonts w:ascii="Arial" w:hAnsi="Arial"/>
          <w:b/>
          <w:sz w:val="28"/>
        </w:rPr>
        <w:t>PRIORIDAD. AYUDAS MÁS EFICACES A LA CIUDADANÍA</w:t>
      </w:r>
    </w:p>
    <w:p w14:paraId="5A6D643B" w14:textId="77777777" w:rsidR="009F541F" w:rsidRDefault="009F541F" w:rsidP="009F541F">
      <w:pPr>
        <w:spacing w:after="563" w:line="360" w:lineRule="auto"/>
        <w:ind w:left="246" w:hanging="10"/>
        <w:jc w:val="both"/>
      </w:pPr>
      <w:r>
        <w:rPr>
          <w:rFonts w:ascii="Arial" w:hAnsi="Arial"/>
        </w:rPr>
        <w:t xml:space="preserve">Dotar a la ciudadanía de Zestoa de más recursos y mejores servicios en materia de vivienda. Para ello, el Ayuntamiento hará un esfuerzo especial en la recogida, sistematización y explotación de informaciones concretas dispersas entre diferentes departamentos, administraciones e instituciones. Con ello se buscarán políticas de vivienda más adecuadas y eficaces. </w:t>
      </w:r>
    </w:p>
    <w:p w14:paraId="31AB1802" w14:textId="77777777" w:rsidR="009F541F" w:rsidRDefault="009F541F" w:rsidP="009F541F">
      <w:pPr>
        <w:numPr>
          <w:ilvl w:val="0"/>
          <w:numId w:val="3"/>
        </w:numPr>
        <w:spacing w:after="252" w:line="250" w:lineRule="auto"/>
        <w:ind w:hanging="309"/>
        <w:jc w:val="both"/>
      </w:pPr>
      <w:r>
        <w:rPr>
          <w:rFonts w:ascii="Arial" w:hAnsi="Arial"/>
          <w:b/>
          <w:sz w:val="28"/>
        </w:rPr>
        <w:t>PRIORIDAD. SERVICIOS MÁS EFICIENTES A LA CIUDADANÍA</w:t>
      </w:r>
    </w:p>
    <w:p w14:paraId="0BC4BFC6" w14:textId="77777777" w:rsidR="009F541F" w:rsidRDefault="009F541F" w:rsidP="009F541F">
      <w:pPr>
        <w:spacing w:after="375" w:line="360" w:lineRule="auto"/>
        <w:ind w:left="246" w:hanging="10"/>
        <w:jc w:val="both"/>
      </w:pPr>
      <w:r>
        <w:rPr>
          <w:rFonts w:ascii="Arial" w:hAnsi="Arial"/>
        </w:rPr>
        <w:t>Dotar a la ciudadanía de Zestoa de más recursos y mejores servicios en materia de vivienda. Para ello se recogerá, sistematizará y difundirá a la ciudadanía de Zestoa la información de los programas que ofrecen las diferentes administraciones en materia de políticas de vivienda.</w:t>
      </w:r>
      <w:r>
        <w:br w:type="page"/>
      </w:r>
    </w:p>
    <w:p w14:paraId="15FDC781" w14:textId="77777777" w:rsidR="009F541F" w:rsidRDefault="009F541F" w:rsidP="009F541F">
      <w:pPr>
        <w:pStyle w:val="Ttulo3"/>
        <w:spacing w:after="147" w:line="250" w:lineRule="auto"/>
      </w:pPr>
      <w:bookmarkStart w:id="4" w:name="_Toc198023380"/>
      <w:r>
        <w:rPr>
          <w:color w:val="000000"/>
        </w:rPr>
        <w:t>2.3 ESTRUCTURA DEL PLAN: EJES, ESTRATEGIAS Y LÍNEAS DE ACTUACIÓN</w:t>
      </w:r>
      <w:bookmarkEnd w:id="4"/>
    </w:p>
    <w:p w14:paraId="43DB58A9" w14:textId="77777777" w:rsidR="009F541F" w:rsidRDefault="009F541F" w:rsidP="009F541F">
      <w:pPr>
        <w:pStyle w:val="Ttulo2"/>
        <w:spacing w:after="372"/>
        <w:ind w:left="242"/>
        <w:jc w:val="center"/>
      </w:pPr>
      <w:bookmarkStart w:id="5" w:name="_Toc198023381"/>
      <w:r>
        <w:rPr>
          <w:rFonts w:ascii="Arial" w:hAnsi="Arial"/>
          <w:color w:val="C9211E"/>
          <w:sz w:val="28"/>
        </w:rPr>
        <w:t>1º EJE: FOMENTAR EL ALQUILER ASEQUIBLE</w:t>
      </w:r>
      <w:bookmarkEnd w:id="5"/>
    </w:p>
    <w:p w14:paraId="50E51918" w14:textId="77777777" w:rsidR="009F541F" w:rsidRDefault="009F541F" w:rsidP="009F541F">
      <w:pPr>
        <w:spacing w:after="252" w:line="250" w:lineRule="auto"/>
        <w:ind w:left="246" w:hanging="10"/>
        <w:jc w:val="both"/>
      </w:pPr>
      <w:r>
        <w:rPr>
          <w:rFonts w:ascii="Arial" w:hAnsi="Arial"/>
          <w:b/>
          <w:sz w:val="28"/>
        </w:rPr>
        <w:t>1,1. ESTRATEGIA. Incrementar el parque de viviendas de uso residencial de protección pública, con especial atención al alquiler asequible.</w:t>
      </w:r>
    </w:p>
    <w:p w14:paraId="0000956C" w14:textId="77777777" w:rsidR="009F541F" w:rsidRDefault="009F541F" w:rsidP="009F541F">
      <w:pPr>
        <w:spacing w:after="375" w:line="360" w:lineRule="auto"/>
        <w:ind w:left="246" w:hanging="10"/>
        <w:jc w:val="both"/>
      </w:pPr>
      <w:r>
        <w:rPr>
          <w:rFonts w:ascii="Arial" w:hAnsi="Arial"/>
          <w:u w:val="single" w:color="000000"/>
        </w:rPr>
        <w:t xml:space="preserve">CONTEXTO DE PARTIDA: </w:t>
      </w:r>
      <w:r>
        <w:rPr>
          <w:rFonts w:ascii="Arial" w:hAnsi="Arial"/>
          <w:b/>
          <w:bCs/>
        </w:rPr>
        <w:t>En los últimos veinte años, concretamente en el periodo 2001-2024, la población de Zestoa ha crecido significativamente (22,6 %)</w:t>
      </w:r>
      <w:r>
        <w:rPr>
          <w:rFonts w:ascii="Arial" w:hAnsi="Arial"/>
        </w:rPr>
        <w:t>. Asimismo, Zestoa se encuentra inmersa en una dinámica territorial muy importante:  Se ha convertido cada vez más en lugar de residencia de personas que han sido desplazadas de localidades contiguas en las que la vivienda se ha convertido en inaccesible. Además, de acuerdo con la prospección realizada, la dinámica de crecimiento se mantendrá constante: Según las previsiones, en 15 años en Zestoa el número de habitantes puede aumentar en 400 personas.</w:t>
      </w:r>
    </w:p>
    <w:p w14:paraId="317112B2" w14:textId="77777777" w:rsidR="009F541F" w:rsidRDefault="009F541F" w:rsidP="009F541F">
      <w:pPr>
        <w:spacing w:after="375" w:line="360" w:lineRule="auto"/>
        <w:ind w:left="246" w:hanging="10"/>
        <w:jc w:val="both"/>
      </w:pPr>
      <w:r>
        <w:rPr>
          <w:rFonts w:ascii="Arial" w:hAnsi="Arial"/>
          <w:b/>
        </w:rPr>
        <w:t xml:space="preserve">Por su parte, el parque de viviendas de Zestoa no ha crecido en el periodo 2010-2023, sino que ha descendido un 0,48 %. </w:t>
      </w:r>
      <w:r>
        <w:rPr>
          <w:rFonts w:ascii="Arial" w:hAnsi="Arial"/>
        </w:rPr>
        <w:t xml:space="preserve">Atendiendo a los barrios, el mayor número de viviendas se ha construido en el barrio de Zestoa (104), Arroa Behea (100) e Iraeta (54). Para entender la naturaleza del parque de viviendas, podemos destacar que en la actualidad existen 1.859 viviendas en Zestoa, con una edad media de 46,2 años, con un 79,9 % de viviendas principales y una media de 2,5 personas por unidad de convivencia. </w:t>
      </w:r>
    </w:p>
    <w:p w14:paraId="59E714ED" w14:textId="77777777" w:rsidR="009F541F" w:rsidRDefault="009F541F" w:rsidP="009F541F">
      <w:pPr>
        <w:spacing w:after="375" w:line="360" w:lineRule="auto"/>
        <w:ind w:left="246" w:hanging="10"/>
        <w:jc w:val="both"/>
      </w:pPr>
      <w:r>
        <w:rPr>
          <w:rFonts w:ascii="Arial" w:hAnsi="Arial"/>
          <w:b/>
        </w:rPr>
        <w:t xml:space="preserve">Atendiendo a la necesidad de vivienda, debemos considerar lo siguiente: </w:t>
      </w:r>
      <w:r>
        <w:rPr>
          <w:rFonts w:ascii="Arial" w:hAnsi="Arial"/>
        </w:rPr>
        <w:t xml:space="preserve">En Etxebide hay 134 solicitudes activas, el 67,2 % del total se han realizado por personas empadronadas en Zestoa, y el 71,6 % de las solicitudes son de alquiler. El diagnóstico confirma que en Zestoa, al igual que en la costa de Urola, el alquiler ha aumentado. Atendiendo al perfil y necesidades de las personas demandantes, cabe destacar que se trata principalmente de personas de ingresos medios, con una demanda cada vez mayor para una sola persona (75 % hoy en día), con una mayoría de hombres y una gran parte de personas jóvenes. Por último, entre los demandantes, la mayoría son de Zestoa, mientras que entre los que desean comprar la mayoría son de fuera. </w:t>
      </w:r>
    </w:p>
    <w:p w14:paraId="111A9CB2" w14:textId="7A330153" w:rsidR="009F541F" w:rsidRDefault="009F541F" w:rsidP="009F541F">
      <w:pPr>
        <w:spacing w:after="375" w:line="360" w:lineRule="auto"/>
        <w:ind w:left="246" w:hanging="10"/>
        <w:jc w:val="both"/>
      </w:pPr>
      <w:r>
        <w:rPr>
          <w:rFonts w:ascii="Arial" w:hAnsi="Arial"/>
          <w:b/>
        </w:rPr>
        <w:t xml:space="preserve">Estos datos ponen de manifiesto la necesidad creciente de vivienda disponible en Zestoa. </w:t>
      </w:r>
      <w:r>
        <w:rPr>
          <w:rFonts w:ascii="Arial" w:hAnsi="Arial"/>
        </w:rPr>
        <w:t>Por supuesto, una de las opciones es llevar a cabo nuevos desarrollos. De hecho, el nuevo PGOU que se espera aprobar en los próximos años contempla varios desarrollos. A continuación</w:t>
      </w:r>
      <w:r w:rsidR="0055687B">
        <w:rPr>
          <w:rFonts w:ascii="Arial" w:hAnsi="Arial"/>
        </w:rPr>
        <w:t>,</w:t>
      </w:r>
      <w:r>
        <w:rPr>
          <w:rFonts w:ascii="Arial" w:hAnsi="Arial"/>
        </w:rPr>
        <w:t xml:space="preserve"> se detallan algunas de ellos. En cualquier caso, es sabido que la construcción de nuevas viviendas supone una oportunidad para algunos sectores y puede suponer una relajación de precios, pero en sí mismo, a falta de otras medidas, no satisface la demanda. De hecho, en las zonas de alta presión, las nuevas promociones son adquiridas por segmentos de clase con una capacidad de compra media-alta, manteniéndose así las necesidades de vivienda de amplios sectores de población. Por ello, es necesario que la oferta sea protegida o limitada. </w:t>
      </w:r>
    </w:p>
    <w:p w14:paraId="44FA0EEA" w14:textId="77777777" w:rsidR="009F541F" w:rsidRDefault="009F541F" w:rsidP="009F541F">
      <w:pPr>
        <w:spacing w:after="375" w:line="360" w:lineRule="auto"/>
        <w:ind w:left="246" w:hanging="10"/>
        <w:jc w:val="both"/>
      </w:pPr>
      <w:r>
        <w:rPr>
          <w:rFonts w:ascii="Arial" w:hAnsi="Arial"/>
          <w:b/>
        </w:rPr>
        <w:t>Para ello, la opción más visible es la promoción de viviendas protegidas en alquiler y la creación progresiva de un gran parque de viviendas de precio limitado.</w:t>
      </w:r>
      <w:r>
        <w:rPr>
          <w:rFonts w:ascii="Arial" w:hAnsi="Arial"/>
        </w:rPr>
        <w:t xml:space="preserve"> Zestoa puede mejorar en este ámbito, ya que en el municipio sólo hay 47 viviendas protegidas, lo que supone un 2,5% del parque total. En cualquier caso, en contextos en los que el suelo urbano es escaso, bien por tratarse de un núcleo urbano consolidado o bien porque el municipio no tiene acceso a nuevos suelos urbanizables, las dificultades para llevarlo a cabo son importantes. </w:t>
      </w:r>
    </w:p>
    <w:p w14:paraId="481AEDF7" w14:textId="77777777" w:rsidR="009F541F" w:rsidRDefault="009F541F" w:rsidP="009F541F">
      <w:pPr>
        <w:spacing w:after="375" w:line="360" w:lineRule="auto"/>
        <w:ind w:left="246" w:hanging="10"/>
        <w:jc w:val="both"/>
      </w:pPr>
      <w:r>
        <w:rPr>
          <w:rFonts w:ascii="Arial" w:hAnsi="Arial"/>
          <w:b/>
        </w:rPr>
        <w:t xml:space="preserve">Sin embargo, existen otras formas de ampliar el parque protegido. </w:t>
      </w:r>
      <w:r>
        <w:rPr>
          <w:rFonts w:ascii="Arial" w:hAnsi="Arial"/>
        </w:rPr>
        <w:t xml:space="preserve">Por un lado, las posibles intervenciones en terrenos destinados a equipamientos, con la posibilidad de crear nuevas viviendas dotacionales dirigidas a colectivos con necesidades específicas. Por otro lado, y a pesar de su complejidad, existe una línea de intervención orientada a los caseríos rurales. Por último, la revisión de algunos criterios tradicionales de arquitectura y urbanismo, relacionados con el uso y densidad del suelo, pueden contribuir a incrementar la oferta de vivienda protegida. </w:t>
      </w:r>
    </w:p>
    <w:p w14:paraId="4C27F718" w14:textId="77777777" w:rsidR="009F541F" w:rsidRDefault="009F541F" w:rsidP="009F541F">
      <w:pPr>
        <w:spacing w:after="375" w:line="360" w:lineRule="auto"/>
        <w:ind w:left="246" w:hanging="10"/>
        <w:jc w:val="both"/>
      </w:pPr>
      <w:r>
        <w:rPr>
          <w:rFonts w:ascii="Arial" w:hAnsi="Arial"/>
          <w:b/>
        </w:rPr>
        <w:t xml:space="preserve">La ampliación del parque en estas diferentes líneas perseguirá dos objetivos principales. </w:t>
      </w:r>
      <w:r>
        <w:rPr>
          <w:rFonts w:ascii="Arial" w:hAnsi="Arial"/>
        </w:rPr>
        <w:t xml:space="preserve">El primero, ofrecer una vivienda asequible a corto plazo a quien la necesita. En segundo lugar, se espera incidir en el mercado libre a través de un parque protegido más extendido, forzando la tendencia a la baja del precio de la vivienda. </w:t>
      </w:r>
    </w:p>
    <w:p w14:paraId="343F2FCF" w14:textId="77777777" w:rsidR="009F541F" w:rsidRDefault="009F541F" w:rsidP="009F541F">
      <w:pPr>
        <w:pStyle w:val="Ttulo5"/>
        <w:spacing w:after="485"/>
        <w:ind w:left="236"/>
      </w:pPr>
      <w:r>
        <w:rPr>
          <w:rFonts w:ascii="Arial" w:hAnsi="Arial"/>
          <w:b/>
          <w:u w:val="single" w:color="000000"/>
        </w:rPr>
        <w:t xml:space="preserve">Una referencia al futuro PGOU de Zestoa </w:t>
      </w:r>
    </w:p>
    <w:p w14:paraId="7719D4BD" w14:textId="77777777" w:rsidR="009F541F" w:rsidRDefault="009F541F" w:rsidP="009F541F">
      <w:pPr>
        <w:spacing w:after="375" w:line="360" w:lineRule="auto"/>
        <w:ind w:left="246" w:hanging="10"/>
        <w:jc w:val="both"/>
      </w:pPr>
      <w:r>
        <w:rPr>
          <w:rFonts w:ascii="Arial" w:hAnsi="Arial"/>
          <w:b/>
        </w:rPr>
        <w:t>De cara al Plan Urbano cabe destacar que el Ayuntamiento de Zestoa no ha renovado su PGOU desde 1996</w:t>
      </w:r>
      <w:r>
        <w:rPr>
          <w:rFonts w:ascii="Arial" w:hAnsi="Arial"/>
        </w:rPr>
        <w:t xml:space="preserve">. Así, los nuevos desarrollos realizados se han ido materializando de forma progresiva, con las adaptaciones necesarias en cada momento. </w:t>
      </w:r>
    </w:p>
    <w:p w14:paraId="35034DDF" w14:textId="77777777" w:rsidR="009F541F" w:rsidRDefault="009F541F" w:rsidP="009F541F">
      <w:pPr>
        <w:spacing w:after="375" w:line="360" w:lineRule="auto"/>
        <w:ind w:left="246" w:hanging="10"/>
        <w:jc w:val="both"/>
      </w:pPr>
      <w:r>
        <w:rPr>
          <w:rFonts w:ascii="Arial" w:hAnsi="Arial"/>
        </w:rPr>
        <w:t>En cualquier caso, el proceso de redacción del nuevo PGOU está muy avanzado y, si bien no cuenta con la aprobación definitiva, los trabajos para la ampliación del parque de viviendas están avanzados. Este Plan de Vivienda pone el foco en las áreas de competencia del Ayuntamiento de Zestoa. Algunas veces con propuestas concretas y otras veces definiendo criterios. En este sentido, este plan tiene poco que decir de cara a los desarrollos que se prevén en los terrenos privados, y mucho menos en el momento en el que el Equipo Redactor del PGOU está trabajando en su elaboración específica.</w:t>
      </w:r>
    </w:p>
    <w:p w14:paraId="5ACF3D8D" w14:textId="77777777" w:rsidR="009F541F" w:rsidRDefault="009F541F" w:rsidP="009F541F">
      <w:pPr>
        <w:sectPr w:rsidR="009F541F" w:rsidSect="009F541F">
          <w:headerReference w:type="even" r:id="rId16"/>
          <w:headerReference w:type="default" r:id="rId17"/>
          <w:footerReference w:type="even" r:id="rId18"/>
          <w:footerReference w:type="default" r:id="rId19"/>
          <w:headerReference w:type="first" r:id="rId20"/>
          <w:footerReference w:type="first" r:id="rId21"/>
          <w:pgSz w:w="11906" w:h="16838"/>
          <w:pgMar w:top="1631" w:right="1131" w:bottom="1695" w:left="900" w:header="1076" w:footer="1133" w:gutter="0"/>
          <w:cols w:space="720"/>
        </w:sectPr>
      </w:pPr>
    </w:p>
    <w:p w14:paraId="5B792662" w14:textId="77777777" w:rsidR="009F541F" w:rsidRDefault="009F541F" w:rsidP="009F541F">
      <w:pPr>
        <w:spacing w:after="375" w:line="360" w:lineRule="auto"/>
        <w:ind w:left="-5" w:hanging="10"/>
        <w:jc w:val="both"/>
      </w:pPr>
      <w:r>
        <w:rPr>
          <w:rFonts w:ascii="Arial" w:hAnsi="Arial"/>
        </w:rPr>
        <w:t>Sin embargo, y para tener una visión general de la evolución residencial de Zestoa en los próximos años, es fundamental aportar una fotografía, aunque sea general, de los nuevos desarrollos residenciales que se proponen.  De hecho, durante los próximos 8 años, la labor de cambio que va a experimentar el municipio en esta zona es la más detallada realizada por el PGOU en fase de definición.</w:t>
      </w:r>
    </w:p>
    <w:p w14:paraId="51C26779" w14:textId="0376EEDD" w:rsidR="009F541F" w:rsidRDefault="009F541F" w:rsidP="009F541F">
      <w:pPr>
        <w:spacing w:after="375" w:line="360" w:lineRule="auto"/>
        <w:ind w:left="-5" w:hanging="10"/>
        <w:jc w:val="both"/>
      </w:pPr>
      <w:r>
        <w:rPr>
          <w:rFonts w:ascii="Arial" w:hAnsi="Arial"/>
        </w:rPr>
        <w:t xml:space="preserve">Dicho lo cual, </w:t>
      </w:r>
      <w:r w:rsidR="000812D8">
        <w:rPr>
          <w:rFonts w:ascii="Arial" w:hAnsi="Arial"/>
        </w:rPr>
        <w:t>hoy por hoy</w:t>
      </w:r>
      <w:r>
        <w:rPr>
          <w:rFonts w:ascii="Arial" w:hAnsi="Arial"/>
        </w:rPr>
        <w:t xml:space="preserve">, y sin perjuicio de las adaptaciones que se produzcan, la proyección de vivienda que el PGOU ha realizado de cara a los próximos 8 años, es esta: El nuevo Plan General ordena 502 viviendas, por debajo de las 452 que autorizan las DOT; 383 serán desarrollos residenciales, 50 actuaciones de dotación y 69 serán consecuencia de actuaciones aisladas. </w:t>
      </w:r>
    </w:p>
    <w:p w14:paraId="2A08800C" w14:textId="77777777" w:rsidR="009F541F" w:rsidRDefault="009F541F" w:rsidP="009F541F">
      <w:pPr>
        <w:spacing w:after="375"/>
        <w:ind w:left="-5" w:hanging="10"/>
        <w:jc w:val="both"/>
      </w:pPr>
      <w:r>
        <w:rPr>
          <w:rFonts w:ascii="Arial" w:hAnsi="Arial"/>
        </w:rPr>
        <w:t>La distribución detallada se recoge en la siguiente tabla.</w:t>
      </w:r>
      <w:r>
        <w:br w:type="page"/>
      </w:r>
    </w:p>
    <w:p w14:paraId="23252633" w14:textId="77777777" w:rsidR="009F541F" w:rsidRDefault="009F541F" w:rsidP="009F541F">
      <w:pPr>
        <w:spacing w:after="130"/>
        <w:ind w:left="-2"/>
      </w:pPr>
      <w:r>
        <w:rPr>
          <w:noProof/>
        </w:rPr>
        <w:drawing>
          <wp:inline distT="0" distB="0" distL="0" distR="0" wp14:anchorId="5B4C5D15" wp14:editId="37EDB33E">
            <wp:extent cx="6120130" cy="6714490"/>
            <wp:effectExtent l="0" t="0" r="0" b="0"/>
            <wp:docPr id="23015" name="Picture 23015"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3015" name="Picture 23015" descr="Tabla&#10;&#10;El contenido generado por IA puede ser incorrecto."/>
                    <pic:cNvPicPr/>
                  </pic:nvPicPr>
                  <pic:blipFill>
                    <a:blip r:embed="rId22"/>
                    <a:stretch>
                      <a:fillRect/>
                    </a:stretch>
                  </pic:blipFill>
                  <pic:spPr>
                    <a:xfrm>
                      <a:off x="0" y="0"/>
                      <a:ext cx="6120130" cy="6714490"/>
                    </a:xfrm>
                    <a:prstGeom prst="rect">
                      <a:avLst/>
                    </a:prstGeom>
                  </pic:spPr>
                </pic:pic>
              </a:graphicData>
            </a:graphic>
          </wp:inline>
        </w:drawing>
      </w:r>
    </w:p>
    <w:p w14:paraId="63374433" w14:textId="77777777" w:rsidR="009F541F" w:rsidRDefault="009F541F" w:rsidP="009F541F">
      <w:pPr>
        <w:pStyle w:val="Ttulo5"/>
        <w:spacing w:after="836"/>
      </w:pPr>
      <w:r>
        <w:t>Imagen 1. Fuente: Memoria Justificativa_PGOU Zestoa_documento provisional</w:t>
      </w:r>
    </w:p>
    <w:p w14:paraId="5A4031EA" w14:textId="77777777" w:rsidR="009F541F" w:rsidRDefault="009F541F" w:rsidP="009F541F">
      <w:pPr>
        <w:spacing w:after="375" w:line="360" w:lineRule="auto"/>
        <w:ind w:left="-5" w:hanging="10"/>
        <w:jc w:val="both"/>
      </w:pPr>
      <w:r>
        <w:rPr>
          <w:rFonts w:ascii="Arial" w:hAnsi="Arial"/>
        </w:rPr>
        <w:t>Cabe destacar que la mayor parte de las viviendas de protección se proponen en la Estación (58), Idiazpi Oeste (56), Lizarraitz (42) y Don Pedro-Artetxe (24). Dentro del régimen de protección, la mayoría serán de Protección Social (118). Sin embargo, se prevén bastantes tasadas (62); y es sabido que las personas de renta media-baja, por no decir de renta baja, tienen difícil acceso a ellas. Dicho esto, habrá que tener en cuenta la necesidad de incrementar las oportunidades de alquiler social. La fotografía finaliza con el programa de actuación de desarrollos. Es decir, hemos mirado para cuándo se prevén estos desarrollos. Se prevé que a corto plazo no se ponga en marcha ninguna de ellas:  El desarrollo de la estación tiene 4 años para tramitar el Programa de Actuación Urbanizadora, y el desarrollo de Idiazpi Oeste 4 años para tramitar el Plan Especial. Por su parte, Lizarraitz cuenta con 8 años para la tramitación del Plan Especial y Don Pedro-Artetxe con otros 8 años.</w:t>
      </w:r>
    </w:p>
    <w:p w14:paraId="6BC7D298" w14:textId="77777777" w:rsidR="009F541F" w:rsidRDefault="009F541F" w:rsidP="009F541F">
      <w:pPr>
        <w:spacing w:after="375" w:line="360" w:lineRule="auto"/>
        <w:ind w:left="-5" w:hanging="10"/>
        <w:jc w:val="both"/>
      </w:pPr>
      <w:r>
        <w:rPr>
          <w:rFonts w:ascii="Arial" w:hAnsi="Arial"/>
        </w:rPr>
        <w:t xml:space="preserve">Todo ello, evidentemente, va más allá del periodo de ejecución de este Plan; pero es importante para entender que, aunque no sea mañana, Zestoa tiene previstos una serie de nuevos desarrollos, algunos de ellos, de acuerdo con la ley, en el régimen de Protección. </w:t>
      </w:r>
      <w:r>
        <w:br w:type="page"/>
      </w:r>
    </w:p>
    <w:p w14:paraId="6BE70355" w14:textId="77777777" w:rsidR="009F541F" w:rsidRDefault="009F541F" w:rsidP="009F541F">
      <w:pPr>
        <w:spacing w:after="187" w:line="265" w:lineRule="auto"/>
        <w:ind w:left="-5" w:hanging="10"/>
        <w:jc w:val="both"/>
      </w:pPr>
      <w:r>
        <w:rPr>
          <w:rFonts w:ascii="Arial" w:hAnsi="Arial"/>
          <w:b/>
          <w:color w:val="C9211E"/>
          <w:sz w:val="26"/>
        </w:rPr>
        <w:t>ACCIÓN 1.1.1 – Fomentar el alquiler social (Kale Oker y antiguo Correos)</w:t>
      </w:r>
    </w:p>
    <w:p w14:paraId="1877C64C" w14:textId="77777777" w:rsidR="009F541F" w:rsidRDefault="009F541F" w:rsidP="009F541F">
      <w:pPr>
        <w:spacing w:after="1" w:line="360" w:lineRule="auto"/>
        <w:ind w:left="-5" w:hanging="10"/>
        <w:jc w:val="both"/>
      </w:pPr>
      <w:r>
        <w:rPr>
          <w:rFonts w:ascii="Arial" w:hAnsi="Arial"/>
          <w:b/>
          <w:u w:val="single" w:color="000000"/>
        </w:rPr>
        <w:t>CONTEXTO DE PARTIDA:</w:t>
      </w:r>
      <w:r>
        <w:rPr>
          <w:rFonts w:ascii="Arial" w:hAnsi="Arial"/>
          <w:b/>
        </w:rPr>
        <w:t xml:space="preserve"> </w:t>
      </w:r>
      <w:r>
        <w:rPr>
          <w:rFonts w:ascii="Arial" w:hAnsi="Arial"/>
        </w:rPr>
        <w:t>El Ayuntamiento de Zestoa se ha hecho con la propiedad de varios edificios situados en la antigua trama, concretamente en la calle Kale Oker. Los edificios se encuentran deteriorados y la intención es derribarlos y abrir el espacio para nuevas viviendas cumpliendo la normativa de protección del casco. Está previsto que tras las actuaciones se puedan crear 12 nuevas viviendas.</w:t>
      </w:r>
    </w:p>
    <w:p w14:paraId="45FF132C" w14:textId="77777777" w:rsidR="009F541F" w:rsidRDefault="009F541F" w:rsidP="009F541F">
      <w:pPr>
        <w:spacing w:after="258" w:line="360" w:lineRule="auto"/>
        <w:ind w:left="-5" w:hanging="10"/>
        <w:jc w:val="both"/>
      </w:pPr>
      <w:r>
        <w:rPr>
          <w:rFonts w:ascii="Arial" w:hAnsi="Arial"/>
        </w:rPr>
        <w:t>La idea es destinarlas al alquiler público.</w:t>
      </w:r>
    </w:p>
    <w:p w14:paraId="658F5659" w14:textId="0DC78AC1" w:rsidR="009F541F" w:rsidRDefault="009F541F" w:rsidP="009F541F">
      <w:pPr>
        <w:spacing w:after="129"/>
        <w:ind w:left="1671"/>
      </w:pPr>
    </w:p>
    <w:p w14:paraId="46F08C98" w14:textId="77777777" w:rsidR="009F541F" w:rsidRDefault="009F541F" w:rsidP="009F541F">
      <w:pPr>
        <w:pStyle w:val="Ttulo5"/>
        <w:ind w:right="32"/>
      </w:pPr>
      <w:r>
        <w:t>Imagen 2.  Fuente: PGOU Zestoa_documento provisional</w:t>
      </w:r>
    </w:p>
    <w:p w14:paraId="154E6B27" w14:textId="77777777" w:rsidR="009F541F" w:rsidRDefault="009F541F" w:rsidP="009F541F">
      <w:pPr>
        <w:spacing w:after="245" w:line="360" w:lineRule="auto"/>
        <w:ind w:left="-5" w:hanging="10"/>
        <w:jc w:val="both"/>
      </w:pPr>
      <w:r>
        <w:rPr>
          <w:rFonts w:ascii="Arial" w:hAnsi="Arial"/>
        </w:rPr>
        <w:t>Por otra parte, el edificio donde se encontraba el antiguo "Correos" ya ha sido demolido por el ayuntamiento y es propietario del solar libre. Se prevé la creación de 10 viviendas. También se pretende destinarlos al alquiler público.</w:t>
      </w:r>
    </w:p>
    <w:p w14:paraId="7C717907" w14:textId="3B22C6D6" w:rsidR="009F541F" w:rsidRDefault="009F541F" w:rsidP="009F541F">
      <w:pPr>
        <w:spacing w:after="130"/>
        <w:ind w:left="1127"/>
      </w:pPr>
    </w:p>
    <w:p w14:paraId="283CF4C9" w14:textId="77777777" w:rsidR="009F541F" w:rsidRDefault="009F541F" w:rsidP="009F541F">
      <w:pPr>
        <w:pStyle w:val="Ttulo5"/>
        <w:spacing w:after="962"/>
        <w:ind w:right="30"/>
      </w:pPr>
      <w:r>
        <w:t>Imagen 3. Fuente: PGOU Zestoa_documento provisional</w:t>
      </w:r>
    </w:p>
    <w:p w14:paraId="45878495" w14:textId="77777777" w:rsidR="009F541F" w:rsidRDefault="009F541F" w:rsidP="009F541F">
      <w:pPr>
        <w:spacing w:after="375" w:line="360" w:lineRule="auto"/>
        <w:ind w:left="-5" w:hanging="10"/>
        <w:jc w:val="both"/>
      </w:pPr>
      <w:r>
        <w:rPr>
          <w:rFonts w:ascii="Arial" w:hAnsi="Arial"/>
        </w:rPr>
        <w:t>Conscientes de las necesidades del municipio, el ayuntamiento quiere que en ambos suelos se construyan viviendas protegidas y se destinen al alquiler social. Por otra parte, el ayuntamiento no dispone por sí mismo de recursos para llevar a cabo la promoción, por lo que la colaboración con el Gobierno Vasco es fundamental para dar aprovechamiento residencial a estos suelos públicos. El esquema de colaboración sería el siguiente: el ayuntamiento cedería los solares adquiridos al Gobierno Vasco para que éste promueva 12 viviendas protegidas. Por otro lado, el Ayuntamiento ofrecerá una serie de bonificaciones en las tasas que estén en su poder.</w:t>
      </w:r>
    </w:p>
    <w:p w14:paraId="7AF61F7E" w14:textId="77777777" w:rsidR="009F541F" w:rsidRDefault="009F541F" w:rsidP="009F541F">
      <w:pPr>
        <w:spacing w:after="375" w:line="360" w:lineRule="auto"/>
        <w:ind w:left="-5" w:hanging="10"/>
        <w:jc w:val="both"/>
      </w:pPr>
      <w:r>
        <w:rPr>
          <w:rFonts w:ascii="Arial" w:hAnsi="Arial"/>
        </w:rPr>
        <w:t xml:space="preserve">Con ello se generarán nuevas viviendas con una ubicación adecuada y se generará la posibilidad de destinarlas a la población más necesitada. El Plan únicamente recomienda mantener los proyectos que ya están en marcha. </w:t>
      </w:r>
    </w:p>
    <w:p w14:paraId="4F231D08" w14:textId="77777777" w:rsidR="009F541F" w:rsidRDefault="009F541F" w:rsidP="009F541F">
      <w:pPr>
        <w:spacing w:after="375" w:line="360" w:lineRule="auto"/>
        <w:ind w:left="-5" w:hanging="10"/>
        <w:jc w:val="both"/>
      </w:pPr>
      <w:r>
        <w:rPr>
          <w:rFonts w:ascii="Arial" w:hAnsi="Arial"/>
          <w:b/>
          <w:u w:val="single" w:color="000000"/>
        </w:rPr>
        <w:t>DESCRIPCIÓN DE LA ACCIÓN:</w:t>
      </w:r>
      <w:r>
        <w:rPr>
          <w:rFonts w:ascii="Arial" w:hAnsi="Arial"/>
        </w:rPr>
        <w:t xml:space="preserve"> El ayuntamiento de Zestoa ya ha definido las tareas a realizar. Sin perjuicio de los cambios que pueda haber, son las siguientes:</w:t>
      </w:r>
    </w:p>
    <w:p w14:paraId="111DAA47" w14:textId="77777777" w:rsidR="009F541F" w:rsidRDefault="009F541F" w:rsidP="009F541F">
      <w:pPr>
        <w:numPr>
          <w:ilvl w:val="0"/>
          <w:numId w:val="4"/>
        </w:numPr>
        <w:spacing w:after="114"/>
        <w:ind w:hanging="360"/>
        <w:jc w:val="both"/>
      </w:pPr>
      <w:r>
        <w:rPr>
          <w:rFonts w:ascii="Arial" w:hAnsi="Arial"/>
        </w:rPr>
        <w:t>Apropiarse de todos los solares de terreno y ejecutar las obras de demolición necesarias.</w:t>
      </w:r>
    </w:p>
    <w:p w14:paraId="3A1A2EA0" w14:textId="77777777" w:rsidR="009F541F" w:rsidRDefault="009F541F" w:rsidP="009F541F">
      <w:pPr>
        <w:numPr>
          <w:ilvl w:val="0"/>
          <w:numId w:val="4"/>
        </w:numPr>
        <w:spacing w:after="3" w:line="360" w:lineRule="auto"/>
        <w:ind w:hanging="360"/>
        <w:jc w:val="both"/>
      </w:pPr>
      <w:r>
        <w:rPr>
          <w:rFonts w:ascii="Arial" w:hAnsi="Arial"/>
        </w:rPr>
        <w:t xml:space="preserve">Impulsar la promoción a través de un acuerdo con el Gobierno Vasco para disponer de parte de los recursos necesarios. Como ya se ha mencionado, el ayuntamiento aportará terrenos y bonificaciones, y el Gobierno Vasco llevará a cabo la promoción. </w:t>
      </w:r>
    </w:p>
    <w:p w14:paraId="197B78E2" w14:textId="77777777" w:rsidR="009F541F" w:rsidRDefault="009F541F" w:rsidP="009F541F">
      <w:pPr>
        <w:numPr>
          <w:ilvl w:val="0"/>
          <w:numId w:val="4"/>
        </w:numPr>
        <w:spacing w:after="3" w:line="360" w:lineRule="auto"/>
        <w:ind w:hanging="360"/>
        <w:jc w:val="both"/>
      </w:pPr>
      <w:r>
        <w:rPr>
          <w:rFonts w:ascii="Arial" w:hAnsi="Arial"/>
        </w:rPr>
        <w:t>Establecer los criterios de acceso y publicar la normativa correspondiente atendiendo a la especial necesidad de las personas jóvenes y asignando una cuota a la gente joven. Asimismo, se exigirá el empadronamiento en Zestoa durante los tres últimos años.</w:t>
      </w:r>
    </w:p>
    <w:p w14:paraId="30D937E4" w14:textId="77777777" w:rsidR="009F541F" w:rsidRDefault="009F541F" w:rsidP="009F541F">
      <w:pPr>
        <w:numPr>
          <w:ilvl w:val="0"/>
          <w:numId w:val="4"/>
        </w:numPr>
        <w:spacing w:after="113"/>
        <w:ind w:hanging="360"/>
        <w:jc w:val="both"/>
      </w:pPr>
      <w:r>
        <w:rPr>
          <w:rFonts w:ascii="Arial" w:hAnsi="Arial"/>
        </w:rPr>
        <w:t>Formar listas y dar acceso a los primeros vecinos.</w:t>
      </w:r>
    </w:p>
    <w:p w14:paraId="1841EBBD" w14:textId="77777777" w:rsidR="009F541F" w:rsidRDefault="009F541F" w:rsidP="009F541F">
      <w:pPr>
        <w:numPr>
          <w:ilvl w:val="0"/>
          <w:numId w:val="4"/>
        </w:numPr>
        <w:spacing w:after="400" w:line="360" w:lineRule="auto"/>
        <w:ind w:hanging="360"/>
        <w:jc w:val="both"/>
      </w:pPr>
      <w:r>
        <w:rPr>
          <w:rFonts w:ascii="Arial" w:hAnsi="Arial"/>
        </w:rPr>
        <w:t>Seguimiento de las viviendas.</w:t>
      </w:r>
    </w:p>
    <w:p w14:paraId="33FD7732"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p>
    <w:p w14:paraId="1DD28239" w14:textId="77777777" w:rsidR="009F541F" w:rsidRDefault="009F541F" w:rsidP="009F541F">
      <w:pPr>
        <w:spacing w:after="190" w:line="265" w:lineRule="auto"/>
        <w:ind w:left="-5" w:hanging="10"/>
        <w:jc w:val="both"/>
      </w:pPr>
      <w:r>
        <w:rPr>
          <w:rFonts w:ascii="Arial" w:hAnsi="Arial"/>
          <w:b/>
          <w:color w:val="C9211E"/>
          <w:sz w:val="26"/>
        </w:rPr>
        <w:t>ACCIÓN 1.1.2 – Promover viviendas protegidas, todo lo posible en alquiler (Arroabea).</w:t>
      </w:r>
    </w:p>
    <w:p w14:paraId="2FDA7C01" w14:textId="77777777" w:rsidR="009F541F" w:rsidRDefault="009F541F" w:rsidP="009F541F">
      <w:pPr>
        <w:spacing w:after="245" w:line="360" w:lineRule="auto"/>
        <w:ind w:left="-5" w:hanging="10"/>
        <w:jc w:val="both"/>
      </w:pPr>
      <w:r>
        <w:rPr>
          <w:rFonts w:ascii="Arial" w:hAnsi="Arial"/>
          <w:u w:val="single" w:color="000000"/>
        </w:rPr>
        <w:t>CONTEXTO DE PARTIDA:</w:t>
      </w:r>
      <w:r>
        <w:rPr>
          <w:rFonts w:ascii="Arial" w:hAnsi="Arial"/>
        </w:rPr>
        <w:t xml:space="preserve"> Arroabea se reordenó para acoger nuevos desarrollos, por lo que la mayoría de las viviendas construidas en Zestoa lo han sido en dicho lugar. En cualquier caso, existe un solar calificado como para vivienda que aún no se ha desarrollado, concretamente en el ámbito AB04 Rezola. El solar fue adquirido en su momento por el Gobierno Vasco, y aunque en esa época se quería edificar, la promoción fue cancelada. En este suelo las previsiones ofrecen la posibilidad de ejecutar 35 viviendas en la actuación AA-R01 Rezola 3. </w:t>
      </w:r>
    </w:p>
    <w:p w14:paraId="6BD40E26" w14:textId="4032C67A" w:rsidR="009F541F" w:rsidRDefault="009F541F" w:rsidP="009F541F">
      <w:pPr>
        <w:spacing w:after="130"/>
        <w:ind w:left="-2"/>
      </w:pPr>
    </w:p>
    <w:p w14:paraId="412FB533" w14:textId="77777777" w:rsidR="009F541F" w:rsidRDefault="009F541F" w:rsidP="009F541F">
      <w:pPr>
        <w:pStyle w:val="Ttulo5"/>
        <w:ind w:right="30"/>
      </w:pPr>
      <w:r>
        <w:t>Imagen 4. Fuente: PGOU Zestoa_documento provisional</w:t>
      </w:r>
    </w:p>
    <w:p w14:paraId="5E4746DC" w14:textId="76F4FBC7" w:rsidR="009F541F" w:rsidRDefault="009F541F" w:rsidP="009F541F">
      <w:pPr>
        <w:spacing w:after="130"/>
        <w:ind w:left="-2"/>
      </w:pPr>
    </w:p>
    <w:p w14:paraId="6F763DE3" w14:textId="77777777" w:rsidR="009F541F" w:rsidRDefault="009F541F" w:rsidP="009F541F">
      <w:pPr>
        <w:pStyle w:val="Ttulo5"/>
        <w:spacing w:after="458"/>
        <w:ind w:right="34"/>
      </w:pPr>
      <w:r>
        <w:t>Imagen 5. Imagen 2. Fuente: PGOU Zestoa_documento provisional</w:t>
      </w:r>
    </w:p>
    <w:p w14:paraId="263110BF" w14:textId="77777777" w:rsidR="009F541F" w:rsidRDefault="009F541F" w:rsidP="009F541F">
      <w:pPr>
        <w:spacing w:after="375" w:line="360" w:lineRule="auto"/>
        <w:ind w:left="-5" w:hanging="10"/>
        <w:jc w:val="both"/>
      </w:pPr>
      <w:r>
        <w:rPr>
          <w:rFonts w:ascii="Arial" w:hAnsi="Arial"/>
        </w:rPr>
        <w:t xml:space="preserve">En el momento de elaboración del Plan de Vivienda, la última versión de los trabajos de redacción del PGOU propone destinar estas 35 viviendas al mercado libre. Con los datos en la mano, y poniendo en primera línea la necesidad de vivienda, es evidente que el fomento del alquiler protegido en el municipio es un reto prioritario. </w:t>
      </w:r>
    </w:p>
    <w:p w14:paraId="435C3CCA" w14:textId="77777777" w:rsidR="009F541F" w:rsidRDefault="009F541F" w:rsidP="009F541F">
      <w:pPr>
        <w:spacing w:after="375" w:line="360" w:lineRule="auto"/>
        <w:ind w:left="-5" w:hanging="10"/>
        <w:jc w:val="both"/>
      </w:pPr>
      <w:r>
        <w:rPr>
          <w:rFonts w:ascii="Arial" w:hAnsi="Arial"/>
        </w:rPr>
        <w:t xml:space="preserve">Como se ha dicho, el solar pertenece al Gobierno Vasco y lo más razonable parece: Recuperar la relación del ayuntamiento de Zestoa con el Gobierno Vasco para recuperar la promoción. Las viviendas que se generen deben ser de protección pública para poder atender la demanda de vivienda existente y deberán destinarse al alquiler social lo máximo posible. Para ello se opta por plasmar los acuerdos entre el ayuntamiento de Zestoa y el Gobierno en un convenio de colaboración. Dicho esto, cabe señalar que el PGOU se encuentra en fase de redacción, de manera que existe la posibilidad de proponer matices en la nueva ordenación para este ámbito. Por ello, lo razonable sería lo siguiente: Una vez definida la ordenación definitiva por el ayuntamiento de Zestoa, tras la aprobación del PGOU, concretar los términos concretos de dicha colaboración. </w:t>
      </w:r>
    </w:p>
    <w:p w14:paraId="4494DD36" w14:textId="77777777" w:rsidR="009F541F" w:rsidRDefault="009F541F" w:rsidP="009F541F">
      <w:pPr>
        <w:spacing w:after="375" w:line="360" w:lineRule="auto"/>
        <w:ind w:left="-5" w:hanging="10"/>
        <w:jc w:val="both"/>
      </w:pPr>
      <w:r>
        <w:rPr>
          <w:rFonts w:ascii="Arial" w:hAnsi="Arial"/>
        </w:rPr>
        <w:t>Por otro lado, se recomienda aprovechar la normativa vigente en materia de procedimientos de adjudicación de viviendas de protección pública para poder destinar algunas viviendas a jóvenes y personas mayores con necesidades especiales.</w:t>
      </w:r>
    </w:p>
    <w:p w14:paraId="1DF73391" w14:textId="77777777" w:rsidR="009F541F" w:rsidRDefault="009F541F" w:rsidP="009F541F">
      <w:pPr>
        <w:spacing w:after="1" w:line="360" w:lineRule="auto"/>
        <w:ind w:left="-5" w:hanging="10"/>
        <w:jc w:val="both"/>
      </w:pPr>
      <w:r>
        <w:rPr>
          <w:rFonts w:ascii="Arial" w:hAnsi="Arial"/>
          <w:u w:val="single" w:color="000000"/>
        </w:rPr>
        <w:t>DESCRIPCIÓN DE LA ACCIÓN:</w:t>
      </w:r>
      <w:r>
        <w:rPr>
          <w:rFonts w:ascii="Arial" w:hAnsi="Arial"/>
        </w:rPr>
        <w:t xml:space="preserve"> En primer lugar, se recomienda que el ayuntamiento de Zestoa defina definitivamente el PGOU. Contando con ese soporte, reunión con el Gobierno Vasco para analizar las posibilidades de colaboración y decidir en consecuencia el sentido de esta promoción. Criterios que se pueden tener en cuenta en la negociación:</w:t>
      </w:r>
    </w:p>
    <w:p w14:paraId="2F81F813" w14:textId="77777777" w:rsidR="009F541F" w:rsidRDefault="009F541F" w:rsidP="009F541F">
      <w:pPr>
        <w:numPr>
          <w:ilvl w:val="0"/>
          <w:numId w:val="5"/>
        </w:numPr>
        <w:spacing w:after="5" w:line="360" w:lineRule="auto"/>
        <w:ind w:hanging="360"/>
        <w:jc w:val="both"/>
      </w:pPr>
      <w:r>
        <w:rPr>
          <w:rFonts w:ascii="Arial" w:hAnsi="Arial"/>
        </w:rPr>
        <w:t>Incentivos que puede ofrecer el ayuntamiento: Ofrecer bonificación del ICIO (90% por ejemplo) y no cobrar varias tasas municipales.</w:t>
      </w:r>
    </w:p>
    <w:p w14:paraId="2816C5CC" w14:textId="77777777" w:rsidR="009F541F" w:rsidRDefault="009F541F" w:rsidP="009F541F">
      <w:pPr>
        <w:numPr>
          <w:ilvl w:val="0"/>
          <w:numId w:val="5"/>
        </w:numPr>
        <w:spacing w:after="375" w:line="360" w:lineRule="auto"/>
        <w:ind w:hanging="360"/>
        <w:jc w:val="both"/>
      </w:pPr>
      <w:r>
        <w:rPr>
          <w:rFonts w:ascii="Arial" w:hAnsi="Arial"/>
        </w:rPr>
        <w:t>Requisitos de adjudicación: valorar criterios de adjudicación preferentes para jóvenes y/o personas mayores con necesidades especiales (según normativa vigente).</w:t>
      </w:r>
    </w:p>
    <w:p w14:paraId="0CAEF53C" w14:textId="77777777" w:rsidR="009F541F" w:rsidRDefault="009F541F" w:rsidP="009F541F">
      <w:pPr>
        <w:spacing w:after="375"/>
        <w:ind w:left="-5" w:hanging="10"/>
        <w:jc w:val="both"/>
      </w:pPr>
      <w:r>
        <w:rPr>
          <w:rFonts w:ascii="Arial" w:hAnsi="Arial"/>
          <w:b/>
          <w:u w:val="single" w:color="000000"/>
        </w:rPr>
        <w:t>ENTIDADES RESPONSABLES:</w:t>
      </w:r>
      <w:r>
        <w:rPr>
          <w:rFonts w:ascii="Arial" w:hAnsi="Arial"/>
          <w:b/>
        </w:rPr>
        <w:t xml:space="preserve"> </w:t>
      </w:r>
      <w:r>
        <w:rPr>
          <w:rFonts w:ascii="Arial" w:hAnsi="Arial"/>
        </w:rPr>
        <w:t>Ayuntamiento de Zestoa y Gobierno Vasco.</w:t>
      </w:r>
    </w:p>
    <w:p w14:paraId="2F02B545" w14:textId="77777777" w:rsidR="009F541F" w:rsidRDefault="009F541F" w:rsidP="009F541F">
      <w:pPr>
        <w:spacing w:after="763" w:line="265" w:lineRule="auto"/>
        <w:ind w:left="-5" w:hanging="10"/>
        <w:jc w:val="both"/>
      </w:pPr>
      <w:r>
        <w:rPr>
          <w:rFonts w:ascii="Arial" w:hAnsi="Arial"/>
          <w:b/>
          <w:color w:val="C9211E"/>
          <w:sz w:val="26"/>
        </w:rPr>
        <w:t xml:space="preserve">ACCIÓN 1.1.3 Estrategia: fomentar las viviendas dotacionales </w:t>
      </w:r>
    </w:p>
    <w:p w14:paraId="15F0F3EE"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Tal y como se ha comentado, que el uso residencial de suelos destinados a equipamiento podría ser una oportunidad para ampliar el parque protegido. La primera opción es levantar viviendas en un solar sin edificación. La segunda es la vinculación de viviendas al equipamiento, diversificando y ampliando el uso del suelo. Dado que la vivienda dotacional tiene la función de hacer frente a determinados sectores y situaciones, como la emancipación de las personas jóvenes, permite intentar ofrecer tipologías especiales. De esta forma, a menudo se pueden construir viviendas de menor tamaño, incrementando la oferta sin artificializar más suelo. </w:t>
      </w:r>
    </w:p>
    <w:p w14:paraId="57CABF76" w14:textId="77777777" w:rsidR="009F541F" w:rsidRDefault="009F541F" w:rsidP="009F541F">
      <w:pPr>
        <w:spacing w:after="375" w:line="360" w:lineRule="auto"/>
        <w:ind w:left="-5" w:hanging="10"/>
        <w:jc w:val="both"/>
      </w:pPr>
      <w:r>
        <w:rPr>
          <w:rFonts w:ascii="Arial" w:hAnsi="Arial"/>
        </w:rPr>
        <w:t>Más allá de la perspectiva de la vivienda, hay dos criterios que debemos tener en cuenta a la hora de llevar a cabo esta línea. La primera es evidente: los municipios necesitan tanto equipamientos como viviendas. El segundo está relacionado con la segregación social, ya que la concentración de personas con una necesidad específica en un mismo núcleo del municipio puede tener un impacto urbanístico. Así, en las viviendas dotacionales una opción es la de apostar por la diversidad de las necesidades y por tanto de las personas.</w:t>
      </w:r>
    </w:p>
    <w:p w14:paraId="181FEF15" w14:textId="77777777" w:rsidR="009F541F" w:rsidRDefault="009F541F" w:rsidP="009F541F">
      <w:pPr>
        <w:spacing w:after="375" w:line="360" w:lineRule="auto"/>
        <w:ind w:left="-5" w:hanging="10"/>
        <w:jc w:val="both"/>
      </w:pPr>
      <w:r>
        <w:rPr>
          <w:rFonts w:ascii="Arial" w:hAnsi="Arial"/>
        </w:rPr>
        <w:t xml:space="preserve">Zestoa tiene una población inferior a 20.000 habitantes, por lo que no tiene necesidades legales de reserva de suelo para viviendas dotacionales. En la actualidad el municipio cuenta con 8 viviendas dotacionales, destinadas prioritariamente a residentes mayores de 60 años y especialmente necesitados.  Más allá de lo comentado, no existe un plan firme de edificación de nuevas viviendas ni una revisión de las existentes. </w:t>
      </w:r>
    </w:p>
    <w:p w14:paraId="1C23AA9C" w14:textId="77777777" w:rsidR="009F541F" w:rsidRDefault="009F541F" w:rsidP="009F541F">
      <w:pPr>
        <w:spacing w:after="759" w:line="360" w:lineRule="auto"/>
        <w:ind w:left="-5" w:hanging="10"/>
        <w:jc w:val="both"/>
      </w:pPr>
      <w:r>
        <w:rPr>
          <w:rFonts w:ascii="Arial" w:hAnsi="Arial"/>
        </w:rPr>
        <w:t xml:space="preserve">Este plan aconseja profundizar en las posibilidades de vivienda dotacional, determinando sus necesidades y destinatarios. </w:t>
      </w:r>
    </w:p>
    <w:p w14:paraId="1F54DC12" w14:textId="77777777" w:rsidR="009F541F" w:rsidRDefault="009F541F" w:rsidP="009F541F">
      <w:pPr>
        <w:spacing w:after="37" w:line="360" w:lineRule="auto"/>
        <w:ind w:left="-5" w:hanging="10"/>
        <w:jc w:val="both"/>
      </w:pPr>
      <w:r>
        <w:rPr>
          <w:rFonts w:ascii="Arial" w:hAnsi="Arial"/>
          <w:u w:val="single" w:color="000000"/>
        </w:rPr>
        <w:t>DESCRIPCIÓN DE LA ACCIÓN:</w:t>
      </w:r>
      <w:r>
        <w:rPr>
          <w:rFonts w:ascii="Arial" w:hAnsi="Arial"/>
        </w:rPr>
        <w:t xml:space="preserve"> Dado que esta posibilidad no se ha trabajado mucho, el plan propone realizar un recorrido desde el análisis hasta la ejecución, definiendo en cada paso si es posible dar el siguiente. Estos son los pasos:</w:t>
      </w:r>
    </w:p>
    <w:p w14:paraId="158B5743" w14:textId="77777777" w:rsidR="009F541F" w:rsidRDefault="009F541F" w:rsidP="009F541F">
      <w:pPr>
        <w:numPr>
          <w:ilvl w:val="0"/>
          <w:numId w:val="6"/>
        </w:numPr>
        <w:spacing w:after="375" w:line="360" w:lineRule="auto"/>
        <w:ind w:hanging="360"/>
        <w:jc w:val="both"/>
      </w:pPr>
      <w:r>
        <w:rPr>
          <w:rFonts w:ascii="Arial" w:hAnsi="Arial"/>
          <w:b/>
          <w:bCs/>
        </w:rPr>
        <w:t>Identificación de los ámbitos de edificación de vivienda dotacional y dimensionamiento de las viviendas</w:t>
      </w:r>
      <w:r>
        <w:rPr>
          <w:rFonts w:ascii="Arial" w:hAnsi="Arial"/>
        </w:rPr>
        <w:t xml:space="preserve">: en primer lugar dentro de la ordenación actual y posteriormente como planeamiento definido por el nuevo PGOU. Realizar una primera estimación sobre el mismo, resolviendo el número de nuevas viviendas que se pueden crear construyendo en solares o aumentando la edificabilidad en equipamientos ya existentes. </w:t>
      </w:r>
    </w:p>
    <w:p w14:paraId="1D9F6C13" w14:textId="77777777" w:rsidR="009F541F" w:rsidRDefault="009F541F" w:rsidP="009F541F">
      <w:pPr>
        <w:numPr>
          <w:ilvl w:val="0"/>
          <w:numId w:val="6"/>
        </w:numPr>
        <w:spacing w:after="36" w:line="360" w:lineRule="auto"/>
        <w:ind w:hanging="360"/>
        <w:jc w:val="both"/>
      </w:pPr>
      <w:r>
        <w:rPr>
          <w:rFonts w:ascii="Arial" w:hAnsi="Arial"/>
          <w:b/>
          <w:bCs/>
        </w:rPr>
        <w:t>Identificación de personas destinatarias</w:t>
      </w:r>
      <w:r>
        <w:rPr>
          <w:rFonts w:ascii="Arial" w:hAnsi="Arial"/>
        </w:rPr>
        <w:t xml:space="preserve">: el estudio identifica una necesidad evidente entre la juventud de Zestoa. Así, uno de los proyectos es la construcción de viviendas para jóvenes, una oportunidad asequible para la primera emancipación, en la que las personas jóvenes pueden permanecer 5 años. Evidentemente, entre los necesitados hay otros colectivos. Con otras dificultades. </w:t>
      </w:r>
    </w:p>
    <w:p w14:paraId="0801DA5D" w14:textId="77777777" w:rsidR="009F541F" w:rsidRDefault="009F541F" w:rsidP="009F541F">
      <w:pPr>
        <w:numPr>
          <w:ilvl w:val="0"/>
          <w:numId w:val="6"/>
        </w:numPr>
        <w:spacing w:after="36" w:line="360" w:lineRule="auto"/>
        <w:ind w:hanging="360"/>
        <w:jc w:val="both"/>
      </w:pPr>
      <w:r>
        <w:rPr>
          <w:rFonts w:ascii="Arial" w:hAnsi="Arial"/>
          <w:b/>
          <w:bCs/>
        </w:rPr>
        <w:t>Priorización y viabilidad</w:t>
      </w:r>
      <w:r>
        <w:rPr>
          <w:rFonts w:ascii="Arial" w:hAnsi="Arial"/>
        </w:rPr>
        <w:t xml:space="preserve">: entre las opciones se encuentra la búsqueda de un acuerdo con el Gobierno Vasco (GV). El Ayuntamiento aportaría suelo, y el GV recursos económicos para la construcción. </w:t>
      </w:r>
    </w:p>
    <w:p w14:paraId="4A22E3DF" w14:textId="77777777" w:rsidR="009F541F" w:rsidRDefault="009F541F" w:rsidP="009F541F">
      <w:pPr>
        <w:numPr>
          <w:ilvl w:val="0"/>
          <w:numId w:val="6"/>
        </w:numPr>
        <w:spacing w:after="375" w:line="360" w:lineRule="auto"/>
        <w:ind w:hanging="360"/>
        <w:jc w:val="both"/>
      </w:pPr>
      <w:r>
        <w:rPr>
          <w:rFonts w:ascii="Arial" w:hAnsi="Arial"/>
          <w:b/>
          <w:bCs/>
        </w:rPr>
        <w:t>Elaboración y publicación de una ordenanza de uso</w:t>
      </w:r>
      <w:r>
        <w:rPr>
          <w:rFonts w:ascii="Arial" w:hAnsi="Arial"/>
        </w:rPr>
        <w:t xml:space="preserve"> en la que se fijen los perfiles y condiciones de los usuarios. A partir de ahí se realizará el sorteo correspondiente para que cuando las viviendas estén preparadas tengan acceso los primeros vecinos. </w:t>
      </w:r>
    </w:p>
    <w:p w14:paraId="378CC3CB" w14:textId="77777777" w:rsidR="009F541F" w:rsidRDefault="009F541F" w:rsidP="009F541F">
      <w:pPr>
        <w:spacing w:after="375"/>
        <w:ind w:left="-5" w:hanging="10"/>
        <w:jc w:val="both"/>
      </w:pPr>
      <w:r>
        <w:rPr>
          <w:rFonts w:ascii="Arial" w:hAnsi="Arial"/>
          <w:u w:val="single" w:color="000000"/>
        </w:rPr>
        <w:t>ENTIDAD RESPONSABLE:</w:t>
      </w:r>
      <w:r>
        <w:rPr>
          <w:rFonts w:ascii="Arial" w:hAnsi="Arial"/>
        </w:rPr>
        <w:t xml:space="preserve"> Ayuntamiento de Zestoa y Gobierno Vasco.</w:t>
      </w:r>
      <w:r>
        <w:br w:type="page"/>
      </w:r>
    </w:p>
    <w:p w14:paraId="2E401E29" w14:textId="77777777" w:rsidR="009F541F" w:rsidRDefault="009F541F" w:rsidP="009F541F">
      <w:pPr>
        <w:spacing w:after="234" w:line="265" w:lineRule="auto"/>
        <w:ind w:left="-5" w:hanging="10"/>
        <w:jc w:val="both"/>
      </w:pPr>
      <w:r>
        <w:rPr>
          <w:rFonts w:ascii="Arial" w:hAnsi="Arial"/>
          <w:b/>
          <w:color w:val="C9211E"/>
          <w:sz w:val="26"/>
        </w:rPr>
        <w:t>ACCIÓN 1.1.4 Medio rural y caseríos</w:t>
      </w:r>
    </w:p>
    <w:p w14:paraId="6CD1D572" w14:textId="4DC78D82"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Zestoa cuenta con siete barrios, de los cuales cinco son barrios rurales. En el medio rural, la cuestión de la vivienda tiene a menudo otras características, tanto económicas como socioculturales. </w:t>
      </w:r>
    </w:p>
    <w:p w14:paraId="48F66C5A" w14:textId="77777777" w:rsidR="009F541F" w:rsidRDefault="009F541F" w:rsidP="009F541F">
      <w:pPr>
        <w:spacing w:after="375" w:line="360" w:lineRule="auto"/>
        <w:ind w:left="-5" w:hanging="10"/>
        <w:jc w:val="both"/>
      </w:pPr>
      <w:r>
        <w:rPr>
          <w:rFonts w:ascii="Arial" w:hAnsi="Arial"/>
        </w:rPr>
        <w:t xml:space="preserve">El análisis realizado plantea la idea central de que un porcentaje importante de las viviendas no censadas pueden ser caseríos. Hay que tener en cuenta que Zestoa tiene una alta tasa de hogares no censados (en torno al 20%), por lo que debe tenerse en cuenta. Además, aunque los caseríos se computan como una única unidad, con dimensiones y adaptaciones adecuadas, pueden ser soporte de numerosas viviendas. </w:t>
      </w:r>
    </w:p>
    <w:p w14:paraId="30A78EF0" w14:textId="77777777" w:rsidR="009F541F" w:rsidRDefault="009F541F" w:rsidP="009F541F">
      <w:pPr>
        <w:spacing w:after="375" w:line="360" w:lineRule="auto"/>
        <w:ind w:left="-5" w:hanging="10"/>
        <w:jc w:val="both"/>
      </w:pPr>
      <w:r>
        <w:rPr>
          <w:rFonts w:ascii="Arial" w:hAnsi="Arial"/>
        </w:rPr>
        <w:t>En la actualidad, la normativa de Zestoa permite la división horizontal del caserío, pero con un máximo de dos viviendas. Se pretende ampliar esta opción, ya que el PGOU en proceso de redacción opta por la división de los caseríos en viviendas.</w:t>
      </w:r>
    </w:p>
    <w:p w14:paraId="272369A7" w14:textId="77777777" w:rsidR="009F541F" w:rsidRDefault="009F541F" w:rsidP="009F541F">
      <w:pPr>
        <w:spacing w:after="415" w:line="360" w:lineRule="auto"/>
        <w:ind w:left="-5" w:hanging="10"/>
        <w:jc w:val="both"/>
      </w:pPr>
      <w:r>
        <w:rPr>
          <w:rFonts w:ascii="Arial" w:hAnsi="Arial"/>
          <w:u w:val="single" w:color="000000"/>
        </w:rPr>
        <w:t>DESCRIPCIÓN DE LA ACCIÓN:</w:t>
      </w:r>
      <w:r>
        <w:rPr>
          <w:rFonts w:ascii="Arial" w:hAnsi="Arial"/>
        </w:rPr>
        <w:t xml:space="preserve"> Teniendo como objetivo la creación de vivienda asequible en los caseríos vacíos, se propone la siguiente secuencia de acciones:</w:t>
      </w:r>
    </w:p>
    <w:p w14:paraId="1498E4B1" w14:textId="77777777" w:rsidR="009F541F" w:rsidRDefault="009F541F" w:rsidP="009F541F">
      <w:pPr>
        <w:numPr>
          <w:ilvl w:val="0"/>
          <w:numId w:val="7"/>
        </w:numPr>
        <w:spacing w:after="36" w:line="360" w:lineRule="auto"/>
        <w:ind w:hanging="360"/>
        <w:jc w:val="both"/>
      </w:pPr>
      <w:r>
        <w:rPr>
          <w:rFonts w:ascii="Arial" w:hAnsi="Arial"/>
          <w:b/>
          <w:bCs/>
        </w:rPr>
        <w:t>Actualizar el censo de caseríos</w:t>
      </w:r>
      <w:r>
        <w:rPr>
          <w:rFonts w:ascii="Arial" w:hAnsi="Arial"/>
        </w:rPr>
        <w:t>: analizar cada uno de los caseríos, para determinar cuáles son los que no están habitados, su régimen de propiedad, su protección, sus características arquitectónicas y económicas, etc. Este estudio deberá identificar el número de nuevas viviendas que se pueden crear en el medio rural. Se deberá tener en cuenta desde el inicio que las actividades agrarias actuales o futuras no pueden ser condenadas. Para la realización específica de esta tarea se designará un técnico responsable.</w:t>
      </w:r>
    </w:p>
    <w:p w14:paraId="488A168B" w14:textId="77777777" w:rsidR="009F541F" w:rsidRDefault="009F541F" w:rsidP="009F541F">
      <w:pPr>
        <w:numPr>
          <w:ilvl w:val="0"/>
          <w:numId w:val="7"/>
        </w:numPr>
        <w:spacing w:after="375" w:line="360" w:lineRule="auto"/>
        <w:ind w:hanging="360"/>
        <w:jc w:val="both"/>
      </w:pPr>
      <w:r>
        <w:rPr>
          <w:rFonts w:ascii="Arial" w:hAnsi="Arial"/>
          <w:b/>
          <w:bCs/>
        </w:rPr>
        <w:t>Bonificaciones a la rehabilitación</w:t>
      </w:r>
      <w:r>
        <w:rPr>
          <w:rFonts w:ascii="Arial" w:hAnsi="Arial"/>
        </w:rPr>
        <w:t xml:space="preserve">: pueden ser incentivos para el propietario que quiera realizar divisiones en la vivienda. Entre ellos, se recomienda la reducción del tipo de ICIO (50 % y 80 % para la obtención de la calificación A de eficiencia energética con obra) y la aplicación de bonificaciones (50%) en el IBI durante un periodo. Asimismo, se asesorará a los propietarios en la obtención de subvenciones. </w:t>
      </w:r>
    </w:p>
    <w:p w14:paraId="748FADD5"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 </w:t>
      </w:r>
    </w:p>
    <w:p w14:paraId="470CAE54" w14:textId="77777777" w:rsidR="009F541F" w:rsidRDefault="009F541F" w:rsidP="009F541F">
      <w:pPr>
        <w:spacing w:after="533" w:line="265" w:lineRule="auto"/>
        <w:ind w:left="-5" w:hanging="10"/>
        <w:jc w:val="both"/>
      </w:pPr>
      <w:r>
        <w:rPr>
          <w:rFonts w:ascii="Arial" w:hAnsi="Arial"/>
          <w:b/>
          <w:color w:val="C9211E"/>
          <w:sz w:val="26"/>
        </w:rPr>
        <w:t xml:space="preserve">ACCIÓN 1.1.5 – Algunos criterios para nuevos desarrollos </w:t>
      </w:r>
    </w:p>
    <w:p w14:paraId="4C88A05C"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Como se ha dicho, este plan tiene una perspectiva corta, de apenas tres años. No obstante, dado que Zestoa va a tener nuevos desarrollos en los próximos 8 años, en este último apartado se recogen una serie de criterios. Estos se han formulado desde la perspectiva de la accesibilidad a la vivienda, por lo que el responsable correspondiente deberá compararlos con otros factores, sean ecológicos, sociales o económicos.  </w:t>
      </w:r>
    </w:p>
    <w:p w14:paraId="307CCD14"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Valorar una serie de criterios que pueden hacer más asequible la vivienda en los futuros nuevos desarrollos, si no se ha hecho, y aplicarlos en caso de que exista la posibilidad. Entre otros:</w:t>
      </w:r>
    </w:p>
    <w:p w14:paraId="3ED44212" w14:textId="77777777" w:rsidR="009F541F" w:rsidRDefault="009F541F" w:rsidP="009F541F">
      <w:pPr>
        <w:numPr>
          <w:ilvl w:val="0"/>
          <w:numId w:val="8"/>
        </w:numPr>
        <w:spacing w:after="1" w:line="360" w:lineRule="auto"/>
        <w:ind w:hanging="360"/>
        <w:jc w:val="both"/>
      </w:pPr>
      <w:r>
        <w:rPr>
          <w:rFonts w:ascii="Arial" w:hAnsi="Arial"/>
          <w:b/>
          <w:bCs/>
        </w:rPr>
        <w:t>Reducción de cargas de urbanización y aumento de la usabilidad</w:t>
      </w:r>
      <w:r>
        <w:rPr>
          <w:rFonts w:ascii="Arial" w:hAnsi="Arial"/>
        </w:rPr>
        <w:t>: más espacio público no siempre es mejor y menos densidad no siempre es indicativo de una mejor calidad de vida. Por otro lado, profundizando en estos dos criterios en los nuevos desarrollos, se puede ampliar el número de viviendas, sin artificializar más el suelo y a un precio más asequible. Por supuesto, los criterios se establecerán en el marco de la legislación vigente.</w:t>
      </w:r>
    </w:p>
    <w:p w14:paraId="6FF78327" w14:textId="77777777" w:rsidR="009F541F" w:rsidRDefault="009F541F" w:rsidP="009F541F">
      <w:pPr>
        <w:numPr>
          <w:ilvl w:val="0"/>
          <w:numId w:val="8"/>
        </w:numPr>
        <w:spacing w:after="2" w:line="360" w:lineRule="auto"/>
        <w:ind w:hanging="360"/>
        <w:jc w:val="both"/>
      </w:pPr>
      <w:r>
        <w:rPr>
          <w:rFonts w:ascii="Arial" w:hAnsi="Arial"/>
          <w:b/>
          <w:bCs/>
        </w:rPr>
        <w:t>Media de unidades convivenciales y tipologías de vivienda</w:t>
      </w:r>
      <w:r>
        <w:rPr>
          <w:rFonts w:ascii="Arial" w:hAnsi="Arial"/>
        </w:rPr>
        <w:t>: hay que considerar que las unidades convivenciales son cada vez más pequeñas y que un porcentaje elevado de la demanda de vivienda la realiza una sola persona. Quizás con viviendas de 75 m2, además de construir más, se responde mejor a una necesidad específica (que es más barata).</w:t>
      </w:r>
    </w:p>
    <w:p w14:paraId="056F6E7A" w14:textId="77777777" w:rsidR="009F541F" w:rsidRDefault="009F541F" w:rsidP="009F541F">
      <w:pPr>
        <w:numPr>
          <w:ilvl w:val="0"/>
          <w:numId w:val="8"/>
        </w:numPr>
        <w:spacing w:after="448" w:line="360" w:lineRule="auto"/>
        <w:ind w:hanging="360"/>
        <w:jc w:val="both"/>
      </w:pPr>
      <w:r>
        <w:rPr>
          <w:rFonts w:ascii="Arial" w:hAnsi="Arial"/>
          <w:b/>
          <w:bCs/>
        </w:rPr>
        <w:t>Demanda a la que hay que responder</w:t>
      </w:r>
      <w:r>
        <w:rPr>
          <w:rFonts w:ascii="Arial" w:hAnsi="Arial"/>
        </w:rPr>
        <w:t xml:space="preserve">: Es cierto que Zestoa tiene muchos desplazamientos, movimientos migratorios. A los solos efectos de su consideración, en las viviendas tasadas públicas, por supuesto también en las dotacionales, se consignará que el perceptor debe tener un periodo mínimo de empadronamiento. </w:t>
      </w:r>
    </w:p>
    <w:p w14:paraId="1EEDE2D0"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 </w:t>
      </w:r>
    </w:p>
    <w:p w14:paraId="27230AA6" w14:textId="77777777" w:rsidR="009F541F" w:rsidRDefault="009F541F" w:rsidP="009F541F">
      <w:pPr>
        <w:spacing w:after="463" w:line="265" w:lineRule="auto"/>
        <w:ind w:left="-5" w:hanging="10"/>
        <w:jc w:val="both"/>
      </w:pPr>
      <w:r>
        <w:rPr>
          <w:rFonts w:ascii="Arial" w:hAnsi="Arial"/>
          <w:b/>
          <w:color w:val="C9211E"/>
          <w:sz w:val="26"/>
        </w:rPr>
        <w:t>1.1.6. IDENTIFICACIÓN DE PARCELAS Y SUELOS DISPONIBLES</w:t>
      </w:r>
    </w:p>
    <w:p w14:paraId="065C47EB"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En Zestoa se encuentra en proceso de elaboración del PGOU, por lo que los responsables están inmersos en una profunda reflexión sobre la ordenación urbana. Para planificar las políticas de vivienda de enfoque largo es interesante realizar una identificación precisa de los suelos disponibles a corto, medio y largo plazo.</w:t>
      </w:r>
    </w:p>
    <w:p w14:paraId="1D3FAC09" w14:textId="77777777" w:rsidR="009F541F" w:rsidRDefault="009F541F" w:rsidP="009F541F">
      <w:pPr>
        <w:spacing w:after="375" w:line="360" w:lineRule="auto"/>
        <w:ind w:left="-5" w:hanging="10"/>
        <w:jc w:val="both"/>
      </w:pPr>
      <w:r>
        <w:rPr>
          <w:rFonts w:ascii="Arial" w:hAnsi="Arial"/>
          <w:u w:val="single"/>
        </w:rPr>
        <w:t>DESCRIPCIÓN DE LA ACCIÓN</w:t>
      </w:r>
      <w:r>
        <w:rPr>
          <w:rFonts w:ascii="Arial" w:hAnsi="Arial"/>
        </w:rPr>
        <w:t xml:space="preserve">: El establecimiento de una relación y clasificación de los solares urbanizables disponibles en el municipio permitirá una negociación más integral con el Gobierno Vasco. Habrá que identificar, en su caso, el suelo objeto de cesión para la promoción de viviendas protegidas y dotacionales. </w:t>
      </w:r>
    </w:p>
    <w:p w14:paraId="2EB78872"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 </w:t>
      </w:r>
      <w:r>
        <w:br w:type="page"/>
      </w:r>
    </w:p>
    <w:p w14:paraId="51FA5993" w14:textId="77777777" w:rsidR="009F541F" w:rsidRDefault="009F541F" w:rsidP="009F541F">
      <w:pPr>
        <w:spacing w:after="463" w:line="265" w:lineRule="auto"/>
        <w:ind w:left="-5" w:hanging="10"/>
        <w:jc w:val="both"/>
      </w:pPr>
      <w:r>
        <w:rPr>
          <w:rFonts w:ascii="Arial" w:hAnsi="Arial"/>
          <w:b/>
          <w:color w:val="C9211E"/>
          <w:sz w:val="26"/>
        </w:rPr>
        <w:t>1.1.7. REDACCIÓN Y ENTRADA EN VIGOR DE LA NORMATIVA DE VIVIENDAS TASADAS</w:t>
      </w:r>
    </w:p>
    <w:p w14:paraId="0C4B4648" w14:textId="77777777" w:rsidR="009F541F" w:rsidRDefault="009F541F" w:rsidP="009F541F">
      <w:pPr>
        <w:spacing w:after="375" w:line="360" w:lineRule="auto"/>
        <w:ind w:left="-5" w:hanging="10"/>
        <w:jc w:val="both"/>
      </w:pPr>
      <w:r>
        <w:rPr>
          <w:rFonts w:ascii="Arial" w:hAnsi="Arial"/>
          <w:u w:val="single" w:color="000000"/>
        </w:rPr>
        <w:t xml:space="preserve">CONTEXTO DE PARTIDA: </w:t>
      </w:r>
      <w:r>
        <w:rPr>
          <w:rFonts w:ascii="Arial" w:hAnsi="Arial"/>
        </w:rPr>
        <w:t>En la actualidad el ayuntamiento de Zestoa carece de normativa en materia de vivienda tasada. En su defecto, el ayuntamiento no puede realizar políticas de creación de alojamientos de protección tasada, ni en el caso de nuevos desarrollos ni en el núcleo urbano consolidado.</w:t>
      </w:r>
    </w:p>
    <w:p w14:paraId="3ED3DE85" w14:textId="77777777" w:rsidR="009F541F" w:rsidRDefault="009F541F" w:rsidP="009F541F">
      <w:pPr>
        <w:spacing w:after="375" w:line="360" w:lineRule="auto"/>
        <w:ind w:left="-5" w:hanging="10"/>
        <w:jc w:val="both"/>
      </w:pPr>
      <w:r>
        <w:rPr>
          <w:rFonts w:ascii="Arial" w:hAnsi="Arial"/>
          <w:u w:val="single"/>
        </w:rPr>
        <w:t>DESCRIPCIÓN DE LA ACCIÓN</w:t>
      </w:r>
      <w:r>
        <w:rPr>
          <w:rFonts w:ascii="Arial" w:hAnsi="Arial"/>
        </w:rPr>
        <w:t>: Tomando como referencia los municipios de similares características, Zestoa debe publicar su ordenanza de viviendas tasadas.</w:t>
      </w:r>
    </w:p>
    <w:p w14:paraId="610C6E27"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 </w:t>
      </w:r>
      <w:r>
        <w:br w:type="page"/>
      </w:r>
    </w:p>
    <w:p w14:paraId="34EAC634" w14:textId="77777777" w:rsidR="009F541F" w:rsidRDefault="009F541F" w:rsidP="009F541F">
      <w:pPr>
        <w:spacing w:after="553" w:line="250" w:lineRule="auto"/>
        <w:ind w:left="-5" w:hanging="10"/>
        <w:jc w:val="both"/>
      </w:pPr>
      <w:r>
        <w:rPr>
          <w:rFonts w:ascii="Arial" w:hAnsi="Arial"/>
          <w:b/>
          <w:sz w:val="28"/>
        </w:rPr>
        <w:t>1.2. ESTRATEGIA. Intermediación y actuaciones y programas de movilización de vivienda vacía en el mercado de alquiler.</w:t>
      </w:r>
    </w:p>
    <w:p w14:paraId="2DC29248" w14:textId="77777777" w:rsidR="009F541F" w:rsidRDefault="009F541F" w:rsidP="009F541F">
      <w:pPr>
        <w:spacing w:after="375" w:line="360" w:lineRule="auto"/>
        <w:ind w:left="-5" w:hanging="10"/>
        <w:jc w:val="both"/>
      </w:pPr>
      <w:r>
        <w:rPr>
          <w:rFonts w:ascii="Arial" w:hAnsi="Arial"/>
          <w:u w:val="single" w:color="000000"/>
        </w:rPr>
        <w:t xml:space="preserve"> CONTEXTO DE PARTIDA: </w:t>
      </w:r>
      <w:r>
        <w:rPr>
          <w:rFonts w:ascii="Arial" w:hAnsi="Arial"/>
        </w:rPr>
        <w:t>El uso de las viviendas de Zestoa es relativamente bajo. Atendiendo a esos criterios, se concluye que hay un total de 388 viviendas (20 %) sin ningún empadronamiento. Este dato es especialmente elevado y además corrobora los datos de viviendas vacías que ofrece el INE. De hecho, la tasa de viviendas vacías de Zestoa es del 10,1 %, mayor que la de Gipuzkoa (7,1 %) y la de la CAE (6,5 %), según datos del INE 2023 (Ver gráfico nº 45 y tabla nº 22).</w:t>
      </w:r>
    </w:p>
    <w:p w14:paraId="1C72A262" w14:textId="77777777" w:rsidR="009F541F" w:rsidRDefault="009F541F" w:rsidP="009F541F">
      <w:pPr>
        <w:spacing w:after="1" w:line="360" w:lineRule="auto"/>
        <w:ind w:left="-5" w:hanging="10"/>
        <w:jc w:val="both"/>
      </w:pPr>
      <w:r>
        <w:rPr>
          <w:rFonts w:ascii="Arial" w:hAnsi="Arial"/>
        </w:rPr>
        <w:t>Como es sabido, una vivienda no empadronada no es lo mismo que una vivienda vacía. Evidentemente, las vacías siempre están no empadronadas, pero además hay que tener en cuenta dos variables:</w:t>
      </w:r>
    </w:p>
    <w:p w14:paraId="74CC555A" w14:textId="77777777" w:rsidR="009F541F" w:rsidRDefault="009F541F" w:rsidP="009F541F">
      <w:pPr>
        <w:numPr>
          <w:ilvl w:val="0"/>
          <w:numId w:val="9"/>
        </w:numPr>
        <w:spacing w:after="33" w:line="360" w:lineRule="auto"/>
        <w:ind w:hanging="360"/>
        <w:jc w:val="both"/>
      </w:pPr>
      <w:r>
        <w:rPr>
          <w:rFonts w:ascii="Arial" w:hAnsi="Arial"/>
          <w:b/>
        </w:rPr>
        <w:t>Si lleva dos años vacía:</w:t>
      </w:r>
      <w:r>
        <w:rPr>
          <w:rFonts w:ascii="Arial" w:hAnsi="Arial"/>
        </w:rPr>
        <w:t xml:space="preserve"> El Decreto de Vivienda Vacía del Gobierno Vasco (8-6-2021) define la vivienda vacía como aquella que permanezca desocupada de forma continuada durante dos años a partir de la fecha en que pueda destinarse a uso residencial.</w:t>
      </w:r>
    </w:p>
    <w:p w14:paraId="5DF35009" w14:textId="77777777" w:rsidR="009F541F" w:rsidRDefault="009F541F" w:rsidP="009F541F">
      <w:pPr>
        <w:numPr>
          <w:ilvl w:val="0"/>
          <w:numId w:val="9"/>
        </w:numPr>
        <w:spacing w:after="375" w:line="360" w:lineRule="auto"/>
        <w:ind w:hanging="360"/>
        <w:jc w:val="both"/>
      </w:pPr>
      <w:r>
        <w:rPr>
          <w:rFonts w:ascii="Arial" w:hAnsi="Arial"/>
          <w:b/>
          <w:bCs/>
        </w:rPr>
        <w:t>Variable de suministros, consumo mínimo</w:t>
      </w:r>
      <w:r>
        <w:rPr>
          <w:rFonts w:ascii="Arial" w:hAnsi="Arial"/>
        </w:rPr>
        <w:t xml:space="preserve">: para comprobar que no hay ninguna persona habitada y por lo tanto que la vivienda es vacía hay que fijarse en agua, electricidad o gas. Se estima que la vivienda vacía tiene un consumo mínimo inferior a un tercio del consumo medio municipal. </w:t>
      </w:r>
    </w:p>
    <w:p w14:paraId="5A524A4D" w14:textId="77777777" w:rsidR="009F541F" w:rsidRDefault="009F541F" w:rsidP="009F541F">
      <w:pPr>
        <w:spacing w:after="375" w:line="360" w:lineRule="auto"/>
        <w:ind w:left="-5" w:hanging="10"/>
        <w:jc w:val="both"/>
      </w:pPr>
      <w:r>
        <w:rPr>
          <w:rFonts w:ascii="Arial" w:hAnsi="Arial"/>
        </w:rPr>
        <w:t xml:space="preserve">El ayuntamiento de Zestoa es el competente y responsable de la elaboración del censo de viviendas vacías existentes en el municipio. </w:t>
      </w:r>
    </w:p>
    <w:p w14:paraId="21F94E6E" w14:textId="77777777" w:rsidR="009F541F" w:rsidRDefault="009F541F" w:rsidP="009F541F">
      <w:pPr>
        <w:spacing w:after="375" w:line="360" w:lineRule="auto"/>
        <w:ind w:left="-5" w:hanging="10"/>
        <w:jc w:val="both"/>
      </w:pPr>
      <w:r>
        <w:rPr>
          <w:rFonts w:ascii="Arial" w:hAnsi="Arial"/>
        </w:rPr>
        <w:t>Una vez censadas, identificadas las viviendas vacías, éstas pueden ser objeto de medidas específicas, como el canon, por incumplimiento de su función social. El canon no es un impuesto, sino una penalización, que permite imponer una multa de 10 €/ m2 a la vivienda vacía, incrementándose en un 10% por cada año que se encuentro vacía.</w:t>
      </w:r>
    </w:p>
    <w:p w14:paraId="74429F5C" w14:textId="77777777" w:rsidR="009F541F" w:rsidRDefault="009F541F" w:rsidP="009F541F">
      <w:pPr>
        <w:spacing w:after="375" w:line="360" w:lineRule="auto"/>
        <w:ind w:left="-5" w:hanging="10"/>
        <w:jc w:val="both"/>
      </w:pPr>
      <w:r>
        <w:rPr>
          <w:rFonts w:ascii="Arial" w:hAnsi="Arial"/>
        </w:rPr>
        <w:t xml:space="preserve">En Zestoa todavía no se ha realizado el cruce entre el censo y los abastecimientos de agua, por lo que no existe un listado fiable de viviendas totalmente vacías.  </w:t>
      </w:r>
    </w:p>
    <w:p w14:paraId="3AE87E9D" w14:textId="77777777" w:rsidR="009F541F" w:rsidRDefault="009F541F" w:rsidP="009F541F">
      <w:pPr>
        <w:spacing w:after="1" w:line="360" w:lineRule="auto"/>
        <w:ind w:left="-5" w:hanging="10"/>
        <w:jc w:val="both"/>
      </w:pPr>
      <w:r>
        <w:rPr>
          <w:rFonts w:ascii="Arial" w:hAnsi="Arial"/>
        </w:rPr>
        <w:t xml:space="preserve">Aclarado esto, en este apartado nos corresponde determinar las acciones a poner en marcha para movilizar vivienda vacía y conseguir un alquiler asequible. Vamos a verlo. </w:t>
      </w:r>
      <w:r>
        <w:br w:type="page"/>
      </w:r>
    </w:p>
    <w:p w14:paraId="044E1FFC" w14:textId="77777777" w:rsidR="009F541F" w:rsidRDefault="009F541F" w:rsidP="009F541F">
      <w:pPr>
        <w:spacing w:after="234" w:line="265" w:lineRule="auto"/>
        <w:ind w:left="-5" w:hanging="10"/>
        <w:jc w:val="both"/>
      </w:pPr>
      <w:r>
        <w:rPr>
          <w:rFonts w:ascii="Arial" w:hAnsi="Arial"/>
          <w:b/>
          <w:color w:val="C9211E"/>
          <w:sz w:val="26"/>
        </w:rPr>
        <w:t>ACCIÓN 1.2.1. Promoción de los programas Bizigune y ASAP.</w:t>
      </w:r>
    </w:p>
    <w:p w14:paraId="442DBCF2" w14:textId="387129E8"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Actualmente son muy pocas las viviendas adscritas al programa Bizigune o ASAP en Zestoa, en torno a 9. Bizigune, donde el propietario cede la vivienda a Alokabide a cambio de un canon, así como ASAP, en la que el Gobierno Vasco ofrece garantías al propietario mediante póliza de seguro, pueden ser programas muy eficaces para la puesta a disposición de viviendas vacías. No obstante, el plan va a apostar por Bizigune, por su seguridad, por el tipo de gestión que ofrece y por su capacidad para hacer más asequible el alquiler.</w:t>
      </w:r>
    </w:p>
    <w:p w14:paraId="29B664CF" w14:textId="68618032" w:rsidR="009F541F" w:rsidRDefault="009F541F" w:rsidP="009F541F">
      <w:pPr>
        <w:spacing w:after="375" w:line="360" w:lineRule="auto"/>
        <w:ind w:left="-5" w:hanging="10"/>
        <w:jc w:val="both"/>
      </w:pPr>
      <w:r>
        <w:rPr>
          <w:rFonts w:ascii="Arial" w:hAnsi="Arial"/>
        </w:rPr>
        <w:t>Es evidente que hasta la fecha el ayuntamiento de Zestoa no ha realizado una labor diferenciada para dar a conocer estos programas a los zestoarras.</w:t>
      </w:r>
    </w:p>
    <w:p w14:paraId="55462B52" w14:textId="77777777" w:rsidR="009F541F" w:rsidRDefault="009F541F" w:rsidP="009F541F">
      <w:pPr>
        <w:spacing w:after="37" w:line="360" w:lineRule="auto"/>
        <w:ind w:left="-5" w:hanging="10"/>
        <w:jc w:val="both"/>
      </w:pPr>
      <w:r>
        <w:rPr>
          <w:rFonts w:ascii="Arial" w:hAnsi="Arial"/>
          <w:u w:val="single" w:color="000000"/>
        </w:rPr>
        <w:t>DESCRIPCIÓN DE LA ACCIÓN:</w:t>
      </w:r>
      <w:r>
        <w:rPr>
          <w:rFonts w:ascii="Arial" w:hAnsi="Arial"/>
        </w:rPr>
        <w:t xml:space="preserve"> Se propone coordinar la socialización de los programas con otras medidas que se pongan en marcha (como bonificaciones fiscales). Para ello se prevé la realización de las siguientes acciones:</w:t>
      </w:r>
    </w:p>
    <w:p w14:paraId="7FF8C59F" w14:textId="77777777" w:rsidR="009F541F" w:rsidRDefault="009F541F" w:rsidP="009F541F">
      <w:pPr>
        <w:numPr>
          <w:ilvl w:val="0"/>
          <w:numId w:val="10"/>
        </w:numPr>
        <w:spacing w:after="36" w:line="360" w:lineRule="auto"/>
        <w:ind w:hanging="360"/>
        <w:jc w:val="both"/>
      </w:pPr>
      <w:r>
        <w:rPr>
          <w:rFonts w:ascii="Arial" w:hAnsi="Arial"/>
        </w:rPr>
        <w:t>Ponerse en contacto con Alokabide para compartir las intenciones con la entidad, coordinar las acciones y recoger la colaboración si se considera oportuno en un convenio.</w:t>
      </w:r>
    </w:p>
    <w:p w14:paraId="05C266FE" w14:textId="77777777" w:rsidR="009F541F" w:rsidRDefault="009F541F" w:rsidP="009F541F">
      <w:pPr>
        <w:numPr>
          <w:ilvl w:val="0"/>
          <w:numId w:val="10"/>
        </w:numPr>
        <w:spacing w:after="36" w:line="360" w:lineRule="auto"/>
        <w:ind w:hanging="360"/>
        <w:jc w:val="both"/>
      </w:pPr>
      <w:r>
        <w:rPr>
          <w:rFonts w:ascii="Arial" w:hAnsi="Arial"/>
        </w:rPr>
        <w:t>Poner un empleado municipal que coordine los programas de vivienda: se recomienda contratarlo desde la bolsa de trabajo o desde un contrato programa e incorporarlo al departamento municipal que lleve los temas de vivienda. Bastará con un contrato por un período de un año.</w:t>
      </w:r>
    </w:p>
    <w:p w14:paraId="0DF5C610" w14:textId="77777777" w:rsidR="009F541F" w:rsidRDefault="009F541F" w:rsidP="009F541F">
      <w:pPr>
        <w:numPr>
          <w:ilvl w:val="0"/>
          <w:numId w:val="10"/>
        </w:numPr>
        <w:spacing w:after="35" w:line="360" w:lineRule="auto"/>
        <w:ind w:hanging="360"/>
        <w:jc w:val="both"/>
      </w:pPr>
      <w:r>
        <w:rPr>
          <w:rFonts w:ascii="Arial" w:hAnsi="Arial"/>
        </w:rPr>
        <w:t>Realizar un censo de viviendas vacías. Para ello, se deberán comprobar los consumos de suministros de las viviendas sin nadie empadronado en ellas, como el agua, y confirmar que están por debajo del umbral.</w:t>
      </w:r>
    </w:p>
    <w:p w14:paraId="28BC1899" w14:textId="77777777" w:rsidR="009F541F" w:rsidRDefault="009F541F" w:rsidP="009F541F">
      <w:pPr>
        <w:numPr>
          <w:ilvl w:val="0"/>
          <w:numId w:val="10"/>
        </w:numPr>
        <w:spacing w:after="36" w:line="360" w:lineRule="auto"/>
        <w:ind w:hanging="360"/>
        <w:jc w:val="both"/>
      </w:pPr>
      <w:r>
        <w:rPr>
          <w:rFonts w:ascii="Arial" w:hAnsi="Arial"/>
        </w:rPr>
        <w:t>Portal de información: se abrirá un apartado con las medidas y opciones que se pondrán en marcha, en el portal web del ayuntamiento.</w:t>
      </w:r>
    </w:p>
    <w:p w14:paraId="530875AE" w14:textId="77777777" w:rsidR="009F541F" w:rsidRDefault="009F541F" w:rsidP="009F541F">
      <w:pPr>
        <w:numPr>
          <w:ilvl w:val="0"/>
          <w:numId w:val="10"/>
        </w:numPr>
        <w:spacing w:after="36" w:line="360" w:lineRule="auto"/>
        <w:ind w:hanging="360"/>
        <w:jc w:val="both"/>
      </w:pPr>
      <w:r>
        <w:rPr>
          <w:rFonts w:ascii="Arial" w:hAnsi="Arial"/>
        </w:rPr>
        <w:t xml:space="preserve">Carta de información y atención:  se enviará una carta informativa a los propietarios de viviendas sin ninguna persona empadronada. En ella se les informará del riesgo de determinadas cargas adicionales (150 % IBI y canon) por vivienda vacía y de la existencia de programas y bonificaciones para evitarlo. Asimismo, se les ofrecerá un servicio de atención y se les propondrá la mejor opción en cada caso. </w:t>
      </w:r>
    </w:p>
    <w:p w14:paraId="069774B9" w14:textId="77777777" w:rsidR="009F541F" w:rsidRDefault="009F541F" w:rsidP="009F541F">
      <w:pPr>
        <w:numPr>
          <w:ilvl w:val="0"/>
          <w:numId w:val="10"/>
        </w:numPr>
        <w:spacing w:after="375" w:line="360" w:lineRule="auto"/>
        <w:ind w:hanging="360"/>
        <w:jc w:val="both"/>
      </w:pPr>
      <w:r>
        <w:rPr>
          <w:rFonts w:ascii="Arial" w:hAnsi="Arial"/>
        </w:rPr>
        <w:t>Seguimiento: bonificación de viviendas sacadas al mercado, y en cuanto a las que no han salido, carta anual y aplicación de la carga correspondiente (ir aumentando el IBI del 150%, o aplicación administrativa del canon).</w:t>
      </w:r>
    </w:p>
    <w:p w14:paraId="7B658EE2"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p>
    <w:p w14:paraId="02275E5B" w14:textId="77777777" w:rsidR="009F541F" w:rsidRDefault="009F541F" w:rsidP="009F541F">
      <w:pPr>
        <w:spacing w:after="234" w:line="265" w:lineRule="auto"/>
        <w:ind w:left="-5" w:hanging="10"/>
        <w:jc w:val="both"/>
      </w:pPr>
      <w:r>
        <w:rPr>
          <w:rFonts w:ascii="Arial" w:hAnsi="Arial"/>
          <w:b/>
          <w:color w:val="C9211E"/>
          <w:sz w:val="26"/>
        </w:rPr>
        <w:t>ACCIÓN 1.2.2. Medidas fiscales para promover la movilización de vivienda vacía hacia el alquiler asequible.</w:t>
      </w:r>
    </w:p>
    <w:p w14:paraId="3B5B6C0D"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En la actualidad, en Zestoa el IBI sólo tiene un 50 % adicional en las viviendas que no tienen a nadie empadronado. Esta acción, combinando bonificaciones y cargas, buscará incentivos para incorporar al mercado vivienda vacía. </w:t>
      </w:r>
    </w:p>
    <w:p w14:paraId="3D4D01E5" w14:textId="77777777" w:rsidR="009F541F" w:rsidRDefault="009F541F" w:rsidP="009F541F">
      <w:pPr>
        <w:numPr>
          <w:ilvl w:val="0"/>
          <w:numId w:val="11"/>
        </w:numPr>
        <w:spacing w:after="375" w:line="360" w:lineRule="auto"/>
        <w:ind w:right="-5" w:hanging="360"/>
        <w:jc w:val="both"/>
      </w:pPr>
      <w:r>
        <w:rPr>
          <w:rFonts w:ascii="Arial" w:hAnsi="Arial"/>
          <w:b/>
        </w:rPr>
        <w:t>Bonificación:</w:t>
      </w:r>
      <w:r>
        <w:rPr>
          <w:rFonts w:ascii="Arial" w:hAnsi="Arial"/>
        </w:rPr>
        <w:t xml:space="preserve"> Programa Bizigune. Se aplicará una bonificación del 50 % de la cuota íntegra a los bienes inmuebles en cesión de uso del programa de vivienda vacía Bizigune, aprobado por Decreto del Gobierno Vasco 316/2002, de 30 de diciembre. Esta bonificación tendrá naturaleza rogada, y se deberá aportar el contrato suscrito entre la persona titular del bien y la entidad gestora del Programa Bizigune. Esta bonificación deberá solicitarse en el mes de enero del mismo período impositivo.</w:t>
      </w:r>
    </w:p>
    <w:p w14:paraId="4E4E907F" w14:textId="77777777" w:rsidR="009F541F" w:rsidRDefault="009F541F" w:rsidP="009F541F">
      <w:pPr>
        <w:spacing w:after="375" w:line="360" w:lineRule="auto"/>
        <w:ind w:left="730" w:hanging="10"/>
        <w:jc w:val="both"/>
      </w:pPr>
      <w:r>
        <w:rPr>
          <w:rFonts w:ascii="Arial" w:hAnsi="Arial"/>
        </w:rPr>
        <w:t>En la localidad de Zestoa, en estos momentos, no hay conocimiento de ningún alojamiento adscrito al Programa Bizigune.</w:t>
      </w:r>
    </w:p>
    <w:p w14:paraId="370A3DF7" w14:textId="77777777" w:rsidR="009F541F" w:rsidRDefault="009F541F" w:rsidP="009F541F">
      <w:pPr>
        <w:spacing w:after="375" w:line="360" w:lineRule="auto"/>
        <w:ind w:left="730" w:hanging="10"/>
        <w:jc w:val="both"/>
      </w:pPr>
      <w:r>
        <w:rPr>
          <w:rFonts w:ascii="Arial" w:hAnsi="Arial"/>
          <w:u w:val="single" w:color="000000"/>
        </w:rPr>
        <w:t>DESCRIPCIÓN DE LA ACCIÓN:</w:t>
      </w:r>
      <w:r>
        <w:rPr>
          <w:rFonts w:ascii="Arial" w:hAnsi="Arial"/>
        </w:rPr>
        <w:t xml:space="preserve"> Previsión y comunicación de la aplicación de la bonificación por tener la vivienda en el Programa Bizigune. Y al mismo tiempo comenzar con la socialización de esta bonificación informando a los propietarios de las 338 viviendas sin nadie empadronado.</w:t>
      </w:r>
    </w:p>
    <w:p w14:paraId="1EF800CD" w14:textId="77777777" w:rsidR="009F541F" w:rsidRDefault="009F541F" w:rsidP="009F541F">
      <w:pPr>
        <w:spacing w:after="479" w:line="265" w:lineRule="auto"/>
        <w:ind w:left="-5" w:hanging="10"/>
      </w:pPr>
      <w:r>
        <w:rPr>
          <w:rFonts w:ascii="Arial" w:hAnsi="Arial"/>
          <w:u w:val="single" w:color="000000"/>
        </w:rPr>
        <w:t>ENTIDADES RESPONSABLES:</w:t>
      </w:r>
      <w:r>
        <w:rPr>
          <w:rFonts w:ascii="Arial" w:hAnsi="Arial"/>
        </w:rPr>
        <w:t xml:space="preserve"> Ayuntamiento de Zestoa</w:t>
      </w:r>
    </w:p>
    <w:p w14:paraId="2B438AAC" w14:textId="77777777" w:rsidR="009F541F" w:rsidRDefault="009F541F" w:rsidP="009F541F">
      <w:pPr>
        <w:numPr>
          <w:ilvl w:val="0"/>
          <w:numId w:val="11"/>
        </w:numPr>
        <w:spacing w:after="116"/>
        <w:ind w:right="-5" w:hanging="360"/>
        <w:jc w:val="both"/>
      </w:pPr>
      <w:r>
        <w:rPr>
          <w:rFonts w:ascii="Arial" w:hAnsi="Arial"/>
          <w:b/>
        </w:rPr>
        <w:t>Recargo del IBI:</w:t>
      </w:r>
      <w:r>
        <w:rPr>
          <w:rFonts w:ascii="Arial" w:hAnsi="Arial"/>
        </w:rPr>
        <w:t xml:space="preserve"> De conformidad con el punto 5 del artículo 14 de la Norma Foral 12/1989, de 5 de julio, del Impuesto sobre Bienes Inmuebles, y teniendo en cuenta el ajuste al que ha sido sometida por la Norma Foral 4/2012, de 4 de julio, se aplicará un recargo del 100 % de la cuota líquida tributaria en el caso que corresponda.</w:t>
      </w:r>
    </w:p>
    <w:p w14:paraId="592BA5ED" w14:textId="77777777" w:rsidR="009F541F" w:rsidRDefault="009F541F" w:rsidP="009F541F">
      <w:pPr>
        <w:spacing w:after="375" w:line="360" w:lineRule="auto"/>
        <w:ind w:left="730" w:hanging="10"/>
        <w:jc w:val="both"/>
      </w:pPr>
      <w:r>
        <w:rPr>
          <w:rFonts w:ascii="Arial" w:hAnsi="Arial"/>
        </w:rPr>
        <w:t xml:space="preserve"> Esta nueva medida fiscal se aprobará en el año 2024 y comenzará a aplicarse en el año 2025. Y de cara a los próximos tres años se prevé incrementarla al 150 %, el máximo que marca la ley.</w:t>
      </w:r>
    </w:p>
    <w:p w14:paraId="7A894CD6" w14:textId="77777777" w:rsidR="009F541F" w:rsidRDefault="009F541F" w:rsidP="009F541F">
      <w:pPr>
        <w:spacing w:after="375" w:line="360" w:lineRule="auto"/>
        <w:ind w:left="728" w:hanging="10"/>
        <w:jc w:val="both"/>
      </w:pPr>
      <w:r>
        <w:rPr>
          <w:rFonts w:ascii="Arial" w:hAnsi="Arial"/>
          <w:u w:val="single" w:color="000000"/>
        </w:rPr>
        <w:t xml:space="preserve"> DESCRIPCIÓN DE LA ACCIÓN:</w:t>
      </w:r>
      <w:r>
        <w:rPr>
          <w:rFonts w:ascii="Arial" w:hAnsi="Arial"/>
        </w:rPr>
        <w:t xml:space="preserve"> En 2025, en suelo urbano, en viviendas sin ninguna persona empadronada en la misma, se empezará a aplicar el recargo por vivienda vacía. Se prevé que en los próximos tres años se vaya subiendo al tope que marca la ley, el 15 0%. </w:t>
      </w:r>
    </w:p>
    <w:p w14:paraId="0055A27C" w14:textId="77777777" w:rsidR="009F541F" w:rsidRDefault="009F541F" w:rsidP="009F541F">
      <w:pPr>
        <w:spacing w:after="186" w:line="265" w:lineRule="auto"/>
        <w:ind w:left="730" w:hanging="10"/>
      </w:pPr>
      <w:r>
        <w:rPr>
          <w:rFonts w:ascii="Arial" w:hAnsi="Arial"/>
          <w:u w:val="single" w:color="000000"/>
        </w:rPr>
        <w:t>ENTIDADES RESPONSABLES:</w:t>
      </w:r>
      <w:r>
        <w:rPr>
          <w:rFonts w:ascii="Arial" w:hAnsi="Arial"/>
        </w:rPr>
        <w:t xml:space="preserve"> Ayuntamiento de Zestoa</w:t>
      </w:r>
    </w:p>
    <w:p w14:paraId="70472285" w14:textId="77777777" w:rsidR="009F541F" w:rsidRDefault="009F541F" w:rsidP="009F541F">
      <w:pPr>
        <w:spacing w:after="234" w:line="265" w:lineRule="auto"/>
        <w:ind w:left="-5" w:hanging="10"/>
        <w:jc w:val="both"/>
      </w:pPr>
      <w:r>
        <w:rPr>
          <w:rFonts w:ascii="Arial" w:hAnsi="Arial"/>
          <w:b/>
          <w:color w:val="C9211E"/>
          <w:sz w:val="26"/>
        </w:rPr>
        <w:t>ACCIÓN 1.2.3. Decreto 149/2021, de 8 de junio, de vivienda deshabitada y de medidas para el cumplimiento de la función social de la vivienda; lanzamiento de las acciones recogidas en el mismo.</w:t>
      </w:r>
    </w:p>
    <w:p w14:paraId="7404405A"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Para poder comenzar a aplicar el decreto vigente desde 2021 es necesario disponer de medios de identificación adecuada para las viviendas deshabitadas. Para ello, es imprescindible dar los primeros pasos para la creación de una base de datos municipal como instrumento de identificación de las viviendas vacías. </w:t>
      </w:r>
    </w:p>
    <w:p w14:paraId="6225A478" w14:textId="77777777" w:rsidR="009F541F" w:rsidRDefault="009F541F" w:rsidP="009F541F">
      <w:pPr>
        <w:spacing w:after="375" w:line="360" w:lineRule="auto"/>
        <w:ind w:left="-5" w:hanging="10"/>
        <w:jc w:val="both"/>
      </w:pPr>
      <w:r>
        <w:rPr>
          <w:rFonts w:ascii="Arial" w:hAnsi="Arial"/>
        </w:rPr>
        <w:t>El primer paso será el inicio de la aplicación en 2025 del recargo del IBI a las viviendas que hayan estado sin empadronar en los dos últimos años. Con la puesta en marcha de esta medida se identificarán las viviendas realmente vacías de las 338, de las cuales se realizará una primera base de datos.</w:t>
      </w:r>
    </w:p>
    <w:p w14:paraId="59237F76" w14:textId="77777777" w:rsidR="009F541F" w:rsidRDefault="009F541F" w:rsidP="009F541F">
      <w:pPr>
        <w:spacing w:after="375" w:line="360" w:lineRule="auto"/>
        <w:ind w:left="-5" w:hanging="10"/>
        <w:jc w:val="both"/>
      </w:pPr>
      <w:r>
        <w:rPr>
          <w:rFonts w:ascii="Arial" w:hAnsi="Arial"/>
        </w:rPr>
        <w:t>El segundo paso será empezar a aplicar el canon a estas viviendas vacías en 2026. Para ello, además del censo de población ya trabajado anteriormente, el ayuntamiento comenzará a analizar los consumos de suministros (agua, electricidad, gas).</w:t>
      </w:r>
    </w:p>
    <w:p w14:paraId="41DDB2F9" w14:textId="77777777" w:rsidR="009F541F" w:rsidRDefault="009F541F" w:rsidP="009F541F">
      <w:pPr>
        <w:spacing w:after="375" w:line="360" w:lineRule="auto"/>
        <w:ind w:left="-5" w:hanging="10"/>
        <w:jc w:val="both"/>
      </w:pPr>
      <w:r>
        <w:rPr>
          <w:rFonts w:ascii="Arial" w:hAnsi="Arial"/>
        </w:rPr>
        <w:t>Todo ello enlazando con la información relativa tanto a los programas Bizigune y ASAP como a las bonificaciones asociadas, con el fin de conocer las posibilidades y facilidades de las personas propietarias para poner en el mercado sus viviendas vacías.</w:t>
      </w:r>
    </w:p>
    <w:p w14:paraId="7127E3E1" w14:textId="77777777" w:rsidR="009F541F" w:rsidRDefault="009F541F" w:rsidP="009F541F">
      <w:pPr>
        <w:spacing w:after="37" w:line="360" w:lineRule="auto"/>
        <w:ind w:left="-5" w:hanging="10"/>
        <w:jc w:val="both"/>
      </w:pPr>
      <w:r>
        <w:rPr>
          <w:rFonts w:ascii="Arial" w:hAnsi="Arial"/>
          <w:u w:val="single" w:color="000000"/>
        </w:rPr>
        <w:t>DESCRIPCIÓN DE LA ACCIÓN:</w:t>
      </w:r>
      <w:r>
        <w:rPr>
          <w:rFonts w:ascii="Arial" w:hAnsi="Arial"/>
        </w:rPr>
        <w:t xml:space="preserve"> Como se ha señalado, las acciones se desarrollarían siguiendo los siguientes pasos:</w:t>
      </w:r>
    </w:p>
    <w:p w14:paraId="225E1E62" w14:textId="6985381C" w:rsidR="009F541F" w:rsidRDefault="009F541F" w:rsidP="009F541F">
      <w:pPr>
        <w:numPr>
          <w:ilvl w:val="0"/>
          <w:numId w:val="12"/>
        </w:numPr>
        <w:spacing w:after="35" w:line="360" w:lineRule="auto"/>
        <w:ind w:hanging="360"/>
        <w:jc w:val="both"/>
      </w:pPr>
      <w:r>
        <w:rPr>
          <w:rFonts w:ascii="Arial" w:hAnsi="Arial"/>
        </w:rPr>
        <w:t xml:space="preserve">Organización de la base de datos municipal de viviendas vacías: en el primer paso se enumerarán las viviendas sin personas empadronadas y se incluirá la información de </w:t>
      </w:r>
      <w:r w:rsidR="00A65739">
        <w:rPr>
          <w:rFonts w:ascii="Arial" w:hAnsi="Arial"/>
        </w:rPr>
        <w:t>estas</w:t>
      </w:r>
      <w:r>
        <w:rPr>
          <w:rFonts w:ascii="Arial" w:hAnsi="Arial"/>
        </w:rPr>
        <w:t>.</w:t>
      </w:r>
    </w:p>
    <w:p w14:paraId="0FC061F5" w14:textId="77777777" w:rsidR="009F541F" w:rsidRDefault="009F541F" w:rsidP="009F541F">
      <w:pPr>
        <w:numPr>
          <w:ilvl w:val="0"/>
          <w:numId w:val="12"/>
        </w:numPr>
        <w:spacing w:after="36" w:line="360" w:lineRule="auto"/>
        <w:ind w:hanging="360"/>
        <w:jc w:val="both"/>
      </w:pPr>
      <w:r>
        <w:rPr>
          <w:rFonts w:ascii="Arial" w:hAnsi="Arial"/>
        </w:rPr>
        <w:t xml:space="preserve">Portal de información: en la página web del ayuntamiento se informará sobre las medidas y opciones que se pondrán en marcha. Entre otras cosas, se informará sobre los programas Bizilagun y ASAP. </w:t>
      </w:r>
    </w:p>
    <w:p w14:paraId="627AAB00" w14:textId="77777777" w:rsidR="009F541F" w:rsidRDefault="009F541F" w:rsidP="009F541F">
      <w:pPr>
        <w:numPr>
          <w:ilvl w:val="0"/>
          <w:numId w:val="12"/>
        </w:numPr>
        <w:spacing w:after="36" w:line="360" w:lineRule="auto"/>
        <w:ind w:hanging="360"/>
        <w:jc w:val="both"/>
      </w:pPr>
      <w:r>
        <w:rPr>
          <w:rFonts w:ascii="Arial" w:hAnsi="Arial"/>
        </w:rPr>
        <w:t>Aplicar la subida del IBI: recibirán la notificación los propietarios de las viviendas que figuran en la base de datos. Es previsible que los que no tengan la vivienda vacía comunicarán la situación para no pagar la subida. Con ello se ajustará la base de datos y se obtendrá un listado de viviendas vacías.</w:t>
      </w:r>
    </w:p>
    <w:p w14:paraId="16FF0548" w14:textId="77777777" w:rsidR="009F541F" w:rsidRDefault="009F541F" w:rsidP="009F541F">
      <w:pPr>
        <w:numPr>
          <w:ilvl w:val="0"/>
          <w:numId w:val="12"/>
        </w:numPr>
        <w:spacing w:after="375" w:line="360" w:lineRule="auto"/>
        <w:ind w:hanging="360"/>
        <w:jc w:val="both"/>
      </w:pPr>
      <w:r>
        <w:rPr>
          <w:rFonts w:ascii="Arial" w:hAnsi="Arial"/>
        </w:rPr>
        <w:t>Reflexionar sobre la aplicación del canon: como se ha señalado, la medida permite una penalización de 10 €/ m2, con un incremento del 10 % del mismo por cada año que esté vacía. En cualquier caso, el ayuntamiento puede aplicar la medida de forma selectiva y aplicarla inicialmente a los tipos de viviendas que pretende movilizar. Además, informar a las personas propietarias de los programas Bizilagun y ASAP.</w:t>
      </w:r>
    </w:p>
    <w:p w14:paraId="507A4C4F" w14:textId="77777777" w:rsidR="009F541F" w:rsidRDefault="009F541F" w:rsidP="009F541F">
      <w:pPr>
        <w:numPr>
          <w:ilvl w:val="0"/>
          <w:numId w:val="12"/>
        </w:numPr>
        <w:spacing w:after="375" w:line="360" w:lineRule="auto"/>
        <w:ind w:hanging="360"/>
        <w:jc w:val="both"/>
      </w:pPr>
      <w:r>
        <w:rPr>
          <w:rFonts w:ascii="Arial" w:hAnsi="Arial"/>
        </w:rPr>
        <w:t>Seguimiento anual: una vez organizada la base de datos y el sistema, se deberá realizar el mismo ejercicio anual (canon) y llevar a cabo el seguimiento.</w:t>
      </w:r>
    </w:p>
    <w:p w14:paraId="7ECE5287" w14:textId="77777777" w:rsidR="009F541F" w:rsidRDefault="009F541F" w:rsidP="009F541F">
      <w:pPr>
        <w:spacing w:after="186" w:line="265" w:lineRule="auto"/>
        <w:ind w:left="-5" w:hanging="10"/>
      </w:pPr>
      <w:r>
        <w:rPr>
          <w:rFonts w:ascii="Arial" w:hAnsi="Arial"/>
          <w:u w:val="single" w:color="000000"/>
        </w:rPr>
        <w:t>ENTIDADES RESPONSABLES:</w:t>
      </w:r>
      <w:r>
        <w:rPr>
          <w:rFonts w:ascii="Arial" w:hAnsi="Arial"/>
        </w:rPr>
        <w:t xml:space="preserve"> Ayuntamiento de Zestoa</w:t>
      </w:r>
      <w:r>
        <w:br w:type="page"/>
      </w:r>
    </w:p>
    <w:p w14:paraId="4C411175" w14:textId="77777777" w:rsidR="009F541F" w:rsidRDefault="009F541F" w:rsidP="009F541F">
      <w:pPr>
        <w:pStyle w:val="Ttulo2"/>
        <w:spacing w:after="236" w:line="361" w:lineRule="auto"/>
        <w:ind w:left="242" w:right="232"/>
        <w:jc w:val="center"/>
      </w:pPr>
      <w:bookmarkStart w:id="6" w:name="_Toc198023382"/>
      <w:r>
        <w:rPr>
          <w:rFonts w:ascii="Arial" w:hAnsi="Arial"/>
          <w:color w:val="C9211E"/>
          <w:sz w:val="28"/>
        </w:rPr>
        <w:t>2º EJE: ACTUACIONES SOBRE EL PARQUE DE EDIFICIOS DE VIVIENDAS Y LA REHABILITACIÓN URBANA</w:t>
      </w:r>
      <w:bookmarkEnd w:id="6"/>
    </w:p>
    <w:p w14:paraId="77479EA0" w14:textId="77777777" w:rsidR="009F541F" w:rsidRDefault="009F541F" w:rsidP="009F541F">
      <w:pPr>
        <w:pStyle w:val="Ttulo2"/>
        <w:spacing w:after="236" w:line="361" w:lineRule="auto"/>
        <w:ind w:left="242" w:right="232"/>
        <w:jc w:val="center"/>
      </w:pPr>
    </w:p>
    <w:p w14:paraId="119D5A43" w14:textId="77777777" w:rsidR="009F541F" w:rsidRDefault="009F541F" w:rsidP="009F541F">
      <w:pPr>
        <w:spacing w:after="181" w:line="250" w:lineRule="auto"/>
        <w:ind w:left="-5" w:hanging="10"/>
        <w:jc w:val="both"/>
      </w:pPr>
      <w:r>
        <w:rPr>
          <w:rFonts w:ascii="Arial" w:hAnsi="Arial"/>
          <w:b/>
          <w:sz w:val="28"/>
        </w:rPr>
        <w:t>ESTRATEGIA 2.1. Conseguir vivienda protegida en la zona construida del municipio</w:t>
      </w:r>
    </w:p>
    <w:p w14:paraId="5C9C72D0"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La creación de vivienda protegida en suelo edificado, es decir, en suelo consolidado, no es una cuestión sencilla. De hecho, el ayuntamiento no puede proteger directamente una vivienda que no es suya y que pertenece al mercado libre. Sin embargo, el uso de tácticas transversales permite, cuando se dan determinadas condiciones, la protección de los inmuebles.   A menudo se trata de estrategias a largo plazo, que en muchas ocasiones acarrean trámites complejos a aplicar en cada caso.</w:t>
      </w:r>
    </w:p>
    <w:p w14:paraId="78ED716C" w14:textId="77777777" w:rsidR="009F541F" w:rsidRDefault="009F541F" w:rsidP="009F541F">
      <w:pPr>
        <w:spacing w:after="375" w:line="360" w:lineRule="auto"/>
        <w:ind w:left="-5" w:hanging="10"/>
        <w:jc w:val="both"/>
      </w:pPr>
      <w:r>
        <w:rPr>
          <w:rFonts w:ascii="Arial" w:hAnsi="Arial"/>
        </w:rPr>
        <w:t>Por otra parte, con estos procedimientos se va a establecer la condición de vivienda protegida, pero en la mayoría de los casos bajo la figura de "tasada".  Es sabido que, con independencia del coeficiente establecido, las viviendas tasadas se acercan en muchos casos a los precios de las viviendas en el mercado libre. Por tanto, pueden ser una oportunidad para las familias de clase media, pero no para otros sectores necesitados. En cualquier caso, Zestoa aún no dispone de una ordenanza reguladora de viviendas tasadas y hasta la fecha se han limitado de forma pactada los precios de las viviendas en diversas operaciones. Así se ha actuado, por ejemplo, al pasar de locales vacíos a viviendas.</w:t>
      </w:r>
    </w:p>
    <w:p w14:paraId="48253099" w14:textId="77777777" w:rsidR="009F541F" w:rsidRDefault="009F541F" w:rsidP="009F541F">
      <w:pPr>
        <w:spacing w:after="415" w:line="360" w:lineRule="auto"/>
        <w:ind w:left="-5" w:hanging="10"/>
        <w:jc w:val="both"/>
      </w:pPr>
      <w:r>
        <w:rPr>
          <w:rFonts w:ascii="Arial" w:hAnsi="Arial"/>
        </w:rPr>
        <w:t>Dicho esto, no cabe duda de que cuantas más viviendas salgan del mercado libre mejor. Además, la protección de la vivienda tiene un beneficio adicional a futuro: el ejercicio por la Administración de los derechos de tanteo y retracto sobre los mismos.  Por lo tanto, el plan hará suyo este principio y recomendará al ayuntamiento que busque viviendas para casos de venta concertada y tasada.  En el caso de Zestoa, la principal opción es la siguiente:</w:t>
      </w:r>
    </w:p>
    <w:p w14:paraId="55C63ADE" w14:textId="77777777" w:rsidR="009F541F" w:rsidRDefault="009F541F" w:rsidP="009F541F">
      <w:pPr>
        <w:spacing w:after="375" w:line="360" w:lineRule="auto"/>
        <w:ind w:left="720" w:hanging="360"/>
        <w:jc w:val="both"/>
      </w:pPr>
      <w:r>
        <w:rPr>
          <w:rFonts w:ascii="Segoe UI Symbol" w:hAnsi="Segoe UI Symbol"/>
        </w:rPr>
        <w:t xml:space="preserve"> </w:t>
      </w:r>
      <w:r>
        <w:rPr>
          <w:rFonts w:ascii="Arial" w:hAnsi="Arial"/>
          <w:b/>
        </w:rPr>
        <w:t>En caso de locales vacíos:</w:t>
      </w:r>
      <w:r>
        <w:rPr>
          <w:rFonts w:ascii="Arial" w:hAnsi="Arial"/>
        </w:rPr>
        <w:t xml:space="preserve"> estableciendo para los locales comerciales que quieran convertirse en vivienda precio de viviendas con venta convenida. El ayuntamiento de Zestoa cuenta ya con una nueva normativa. A estos efectos, tendrán carácter tasado los alojamientos que surjan de los locales comerciales.</w:t>
      </w:r>
    </w:p>
    <w:p w14:paraId="30CD35F5" w14:textId="77777777" w:rsidR="009F541F" w:rsidRDefault="009F541F" w:rsidP="009F541F">
      <w:pPr>
        <w:spacing w:after="342" w:line="361" w:lineRule="auto"/>
        <w:ind w:left="-5" w:hanging="10"/>
        <w:jc w:val="both"/>
      </w:pPr>
      <w:r>
        <w:rPr>
          <w:rFonts w:ascii="Arial" w:hAnsi="Arial"/>
          <w:b/>
          <w:color w:val="C9211E"/>
          <w:sz w:val="26"/>
        </w:rPr>
        <w:t>ACCIÓN 2.1.1. Ordenanza para el cambio de uso de locales vacíos y su seguimiento.</w:t>
      </w:r>
    </w:p>
    <w:p w14:paraId="4B9BD3A4"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La ordenanza aprobada por el ayuntamiento de Zestoa en 2024 (Ordenanza reguladora de las actuaciones de cambio de uso de locales a vivienda en edificios residenciales, BOG 11/12/2024) está vigente para la transformación de locales comerciales en viviendas. Esta solución de pasar de local terciario a vivienda, considerando estos locales como activos edificatorios sin aprovechamiento, fomenta la oferta de nuevas viviendas en el mercado sin necesidad de consumir nuevos suelos. </w:t>
      </w:r>
    </w:p>
    <w:p w14:paraId="34131A0A"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Seguimiento de estos locales que pasan de ser terciarios a uso residencial para certificar el cumplimiento del objeto de la ordenanza.</w:t>
      </w:r>
    </w:p>
    <w:p w14:paraId="5BDAB4D8" w14:textId="77777777" w:rsidR="009F541F" w:rsidRDefault="009F541F" w:rsidP="009F541F">
      <w:pPr>
        <w:spacing w:after="186" w:line="265" w:lineRule="auto"/>
        <w:ind w:left="-5" w:hanging="10"/>
      </w:pPr>
      <w:r>
        <w:rPr>
          <w:rFonts w:ascii="Arial" w:hAnsi="Arial"/>
          <w:u w:val="single" w:color="000000"/>
        </w:rPr>
        <w:t xml:space="preserve">ENTIDADES RESPONSABLES: </w:t>
      </w:r>
      <w:r>
        <w:rPr>
          <w:rFonts w:ascii="Arial" w:hAnsi="Arial"/>
        </w:rPr>
        <w:t>Ayuntamiento de Zestoa</w:t>
      </w:r>
      <w:r>
        <w:br w:type="page"/>
      </w:r>
    </w:p>
    <w:p w14:paraId="705899AF" w14:textId="77777777" w:rsidR="009F541F" w:rsidRDefault="009F541F" w:rsidP="009F541F">
      <w:pPr>
        <w:spacing w:after="533" w:line="265" w:lineRule="auto"/>
        <w:ind w:left="-5" w:hanging="10"/>
        <w:jc w:val="both"/>
      </w:pPr>
      <w:r>
        <w:rPr>
          <w:rFonts w:ascii="Arial" w:hAnsi="Arial"/>
          <w:b/>
          <w:color w:val="C9211E"/>
          <w:sz w:val="26"/>
        </w:rPr>
        <w:t>ACCIÓN 2.1.1. Ordenanza reguladora de la división de grandes viviendas</w:t>
      </w:r>
    </w:p>
    <w:p w14:paraId="120CB8E7" w14:textId="77777777" w:rsidR="009F541F" w:rsidRDefault="009F541F" w:rsidP="009F541F">
      <w:pPr>
        <w:spacing w:after="375" w:line="360" w:lineRule="auto"/>
        <w:ind w:left="-5" w:hanging="10"/>
        <w:jc w:val="both"/>
      </w:pPr>
      <w:r>
        <w:rPr>
          <w:rFonts w:ascii="Arial" w:hAnsi="Arial"/>
          <w:u w:val="single" w:color="000000"/>
        </w:rPr>
        <w:t xml:space="preserve">CONTEXTO DE PARTIDA: </w:t>
      </w:r>
      <w:r>
        <w:rPr>
          <w:rFonts w:ascii="Arial" w:hAnsi="Arial"/>
        </w:rPr>
        <w:t>La superficie media del parque de viviendas de Zestoa es elevada (108,1 m2). Sin embargo, la inclusión de los caseríos en esta media dificulta contar con una noción general de la dimensión de las viviendas del casco urbano. Por otro lado, los barrios más urbanizados son el barrio de Zestoa y el barrio de Arroabea. En ellos se sitúa la tasa de uso residencial más elevada, 87,1 % y 77,1 %, respectivamente.</w:t>
      </w:r>
    </w:p>
    <w:p w14:paraId="0D1E1FCE" w14:textId="77777777" w:rsidR="009F541F" w:rsidRDefault="009F541F" w:rsidP="009F541F">
      <w:pPr>
        <w:spacing w:after="375" w:line="360" w:lineRule="auto"/>
        <w:ind w:left="-5" w:hanging="10"/>
        <w:jc w:val="both"/>
      </w:pPr>
      <w:r>
        <w:rPr>
          <w:rFonts w:ascii="Arial" w:hAnsi="Arial"/>
        </w:rPr>
        <w:t>Por lo tanto, no queda claro si hay muchas viviendas del casco urbano de grandes dimensiones, y mucho menos si esta es la causa del bajo uso residencial que tiene el municipio. Por lo tanto, el plan recomienda considerar esta acción, pero dándole una prioridad secundaria.</w:t>
      </w:r>
    </w:p>
    <w:p w14:paraId="57B6E9EA" w14:textId="77777777" w:rsidR="009F541F" w:rsidRDefault="009F541F" w:rsidP="009F541F">
      <w:pPr>
        <w:spacing w:after="37" w:line="360" w:lineRule="auto"/>
        <w:ind w:left="-5" w:hanging="10"/>
        <w:jc w:val="both"/>
      </w:pPr>
      <w:r>
        <w:rPr>
          <w:rFonts w:ascii="Arial" w:hAnsi="Arial"/>
          <w:u w:val="single" w:color="000000"/>
        </w:rPr>
        <w:t>DESCRIPCIÓN DE LA ACCIÓN:</w:t>
      </w:r>
      <w:r>
        <w:rPr>
          <w:rFonts w:ascii="Arial" w:hAnsi="Arial"/>
        </w:rPr>
        <w:t xml:space="preserve"> Antes de hacer nada se necesitaría una fotografía más detallada. A tal efecto:</w:t>
      </w:r>
    </w:p>
    <w:p w14:paraId="1F38AC2C" w14:textId="77777777" w:rsidR="009F541F" w:rsidRDefault="009F541F" w:rsidP="009F541F">
      <w:pPr>
        <w:numPr>
          <w:ilvl w:val="0"/>
          <w:numId w:val="13"/>
        </w:numPr>
        <w:spacing w:after="36" w:line="360" w:lineRule="auto"/>
        <w:ind w:hanging="360"/>
        <w:jc w:val="both"/>
      </w:pPr>
      <w:r>
        <w:rPr>
          <w:rFonts w:ascii="Arial" w:hAnsi="Arial"/>
        </w:rPr>
        <w:t xml:space="preserve">Se deberá gestionar el censo de viviendas vacías.  En primer lugar, es necesario elaborar un censo detallado de las viviendas vacías que no cuenten con personas empadronadas. Ahí veremos cuántas casas vacías son grandes y no caseríos, y hasta qué punto merece la pena poner en marcha una normativa de este tipo. </w:t>
      </w:r>
    </w:p>
    <w:p w14:paraId="5C31D89E" w14:textId="77777777" w:rsidR="009F541F" w:rsidRDefault="009F541F" w:rsidP="009F541F">
      <w:pPr>
        <w:numPr>
          <w:ilvl w:val="0"/>
          <w:numId w:val="13"/>
        </w:numPr>
        <w:spacing w:after="375" w:line="360" w:lineRule="auto"/>
        <w:ind w:hanging="360"/>
        <w:jc w:val="both"/>
      </w:pPr>
      <w:r>
        <w:rPr>
          <w:rFonts w:ascii="Arial" w:hAnsi="Arial"/>
        </w:rPr>
        <w:t>Elaborar el reglamento: si mereciera, se haría el reglamento. El criterio general sería el siguiente: Se abre la posibilidad de dividir viviendas de más de 160 m2. En todo caso, dentro del proceso de redacción del PGOU, se abordará la posibilidad de reducir esta superficie mínima.</w:t>
      </w:r>
    </w:p>
    <w:p w14:paraId="7F500DEB" w14:textId="77777777" w:rsidR="009F541F" w:rsidRDefault="009F541F" w:rsidP="009F541F">
      <w:pPr>
        <w:spacing w:after="432" w:line="359" w:lineRule="auto"/>
        <w:ind w:left="-5" w:hanging="10"/>
        <w:jc w:val="both"/>
      </w:pPr>
      <w:r>
        <w:rPr>
          <w:rFonts w:ascii="Arial" w:hAnsi="Arial"/>
          <w:b/>
          <w:sz w:val="28"/>
        </w:rPr>
        <w:t>ESTRATEGIA 2.2. Subvenciones, medidas fiscales, etc. en materia de rehabilitación urbana</w:t>
      </w:r>
    </w:p>
    <w:p w14:paraId="3D32FF7C" w14:textId="77777777" w:rsidR="009F541F" w:rsidRDefault="009F541F" w:rsidP="009F541F">
      <w:pPr>
        <w:spacing w:after="533" w:line="265" w:lineRule="auto"/>
        <w:ind w:left="-5" w:hanging="10"/>
        <w:jc w:val="both"/>
      </w:pPr>
      <w:r>
        <w:rPr>
          <w:rFonts w:ascii="Arial" w:hAnsi="Arial"/>
          <w:b/>
          <w:color w:val="C9211E"/>
          <w:sz w:val="26"/>
        </w:rPr>
        <w:t>ACCIÓN 2.2.1. Reflexionar sobre la rehabilitación urbana.</w:t>
      </w:r>
    </w:p>
    <w:p w14:paraId="68800F7C"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Se ha confirmado con los responsables municipales que en Zestoa no existe ningún barrio con condiciones para ser declarado Área de Rehabilitación Integrada o Área Degradada. Por otra parte, el ayuntamiento de Zestoa carece en la actualidad de medidas concretas en relación con la rehabilitación del parque de viviendas. No existe una línea subvencional municipal concreta para el fomento de la rehabilitación de edificios de viviendas.  En este sentido, tampoco se ofrece asesoramiento sobre subvenciones del Gobierno Vasco dirigidas a comunidades de propietarios o a particulares. Por otra parte, es cierto que en la licencia de obras se establecen bonificaciones para aquellas comunidades que quieran realizar obras tanto en fachadas como en tejados.</w:t>
      </w:r>
    </w:p>
    <w:p w14:paraId="13DF0747" w14:textId="77777777" w:rsidR="009F541F" w:rsidRDefault="009F541F" w:rsidP="009F541F">
      <w:pPr>
        <w:spacing w:after="375" w:line="360" w:lineRule="auto"/>
        <w:ind w:left="-5" w:hanging="10"/>
        <w:jc w:val="both"/>
      </w:pPr>
      <w:r>
        <w:rPr>
          <w:rFonts w:ascii="Arial" w:hAnsi="Arial"/>
        </w:rPr>
        <w:t xml:space="preserve">El parque de viviendas de Zestoa tiene una antigüedad media de 46,2 años. Es de suponer que hay edificios cercanos a los 50 años que no han tenido una regeneración profunda y que comienzan a sufrir problemas. El envejecimiento no sólo perjudica a la posibilidad de colocar en el mercado viviendas. Las dinámicas de segregación por edad y clase pueden verse reforzadas por no hacer frente a la degradación de las zonas urbanas. Por otro lado, hay que tener en cuenta el riesgo de que la regeneración contribuya con dinero público a tensionar aún más un ámbito ya tenso. Este plan recomienda, por tanto, que las ayudas económicas imprescindibles se acompañen de medidas correctoras. </w:t>
      </w:r>
    </w:p>
    <w:p w14:paraId="6E26F29A" w14:textId="77777777" w:rsidR="009F541F" w:rsidRDefault="009F541F" w:rsidP="009F541F">
      <w:pPr>
        <w:spacing w:after="415" w:line="360" w:lineRule="auto"/>
        <w:ind w:left="-5" w:hanging="10"/>
        <w:jc w:val="both"/>
      </w:pPr>
      <w:r>
        <w:rPr>
          <w:rFonts w:ascii="Arial" w:hAnsi="Arial"/>
          <w:u w:val="single" w:color="000000"/>
        </w:rPr>
        <w:t>DESCRIPCIÓN DE LA ACCIÓN:</w:t>
      </w:r>
      <w:r>
        <w:rPr>
          <w:rFonts w:ascii="Arial" w:hAnsi="Arial"/>
        </w:rPr>
        <w:t xml:space="preserve"> Como no se cuenta con trayectoria previa en este ámbito, se considera necesario una reflexión para poder poner en marcha tanto los servicios de asesoramiento como las ayudas en las materias mencionadas. En ella debería definirse, al menos, lo siguiente:</w:t>
      </w:r>
    </w:p>
    <w:p w14:paraId="6735E68B" w14:textId="77777777" w:rsidR="009F541F" w:rsidRDefault="009F541F" w:rsidP="009F541F">
      <w:pPr>
        <w:numPr>
          <w:ilvl w:val="0"/>
          <w:numId w:val="13"/>
        </w:numPr>
        <w:spacing w:after="116"/>
        <w:ind w:hanging="360"/>
        <w:jc w:val="both"/>
      </w:pPr>
      <w:r>
        <w:rPr>
          <w:rFonts w:ascii="Arial" w:hAnsi="Arial"/>
        </w:rPr>
        <w:t>Posibles líneas subvencionales específicas para estimular la rehabilitación de edificios y viviendas.</w:t>
      </w:r>
    </w:p>
    <w:p w14:paraId="19DA5238" w14:textId="77777777" w:rsidR="009F541F" w:rsidRDefault="009F541F" w:rsidP="009F541F">
      <w:pPr>
        <w:numPr>
          <w:ilvl w:val="0"/>
          <w:numId w:val="13"/>
        </w:numPr>
        <w:spacing w:after="71"/>
        <w:ind w:hanging="360"/>
        <w:jc w:val="both"/>
      </w:pPr>
      <w:r>
        <w:rPr>
          <w:rFonts w:ascii="Arial" w:hAnsi="Arial"/>
        </w:rPr>
        <w:t>Definir bonificaciones fiscales para estimular la rehabilitación de edificios y viviendas.</w:t>
      </w:r>
    </w:p>
    <w:p w14:paraId="6790DB26" w14:textId="77777777" w:rsidR="009F541F" w:rsidRDefault="009F541F" w:rsidP="009F541F">
      <w:pPr>
        <w:spacing w:after="143"/>
        <w:ind w:left="730" w:hanging="10"/>
        <w:jc w:val="both"/>
      </w:pPr>
      <w:r>
        <w:rPr>
          <w:rFonts w:ascii="Arial" w:hAnsi="Arial"/>
        </w:rPr>
        <w:t xml:space="preserve">Se propone congelar el impuesto de ICIO, en la línea de lo realizado en otras localidades. </w:t>
      </w:r>
    </w:p>
    <w:p w14:paraId="3B343279" w14:textId="77777777" w:rsidR="009F541F" w:rsidRDefault="009F541F" w:rsidP="009F541F">
      <w:pPr>
        <w:numPr>
          <w:ilvl w:val="0"/>
          <w:numId w:val="13"/>
        </w:numPr>
        <w:spacing w:after="375" w:line="360" w:lineRule="auto"/>
        <w:ind w:hanging="360"/>
        <w:jc w:val="both"/>
      </w:pPr>
      <w:r>
        <w:rPr>
          <w:rFonts w:ascii="Arial" w:hAnsi="Arial"/>
        </w:rPr>
        <w:t xml:space="preserve">Definir vías de asistencia y asesoramiento a particulares en materia de rehabilitación. En particular, se establecerá la forma de prestación del servicio de asesoramiento en relación con los programas subvencionales del GV. </w:t>
      </w:r>
    </w:p>
    <w:p w14:paraId="5C81147C"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p>
    <w:p w14:paraId="5EFBD2A7" w14:textId="77777777" w:rsidR="009F541F" w:rsidRDefault="009F541F" w:rsidP="009F541F">
      <w:pPr>
        <w:spacing w:after="467" w:line="250" w:lineRule="auto"/>
        <w:ind w:left="-5" w:hanging="10"/>
        <w:jc w:val="both"/>
      </w:pPr>
      <w:r>
        <w:rPr>
          <w:rFonts w:ascii="Arial" w:hAnsi="Arial"/>
          <w:b/>
          <w:sz w:val="28"/>
        </w:rPr>
        <w:t>ESTRATEGIA 2.3 Control de alojamientos turísticos</w:t>
      </w:r>
    </w:p>
    <w:p w14:paraId="7DCD494D" w14:textId="77777777" w:rsidR="009F541F" w:rsidRDefault="009F541F" w:rsidP="009F541F">
      <w:pPr>
        <w:spacing w:after="378" w:line="361" w:lineRule="auto"/>
      </w:pPr>
      <w:r>
        <w:rPr>
          <w:rFonts w:ascii="Arial" w:hAnsi="Arial"/>
          <w:b/>
          <w:color w:val="C9211E"/>
        </w:rPr>
        <w:t>2.3.1. Acción para controlar el crecimiento de los alojamientos turísticos y proteger la función residencial de la vivienda</w:t>
      </w:r>
    </w:p>
    <w:p w14:paraId="4781F9BF"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En los últimos años hemos comprobado que la masificación turística puede generar diversos efectos negativos. Entre otros, los procesos de gentrificación, los efectos perjudiciales en las formas de vida locales, la desaparición del comercio local, el impacto ecológico, la segregación urbana, etc. Evidentemente, un turismo desproporcionado afecta al derecho a la vivienda, ya que por la rentabilidad que se impone, los propietarios tienen fuertes tentaciones de destinar las viviendas al turismo. Esto puede tener dos efectos principales: en primer lugar, el parque de viviendas pierde alojamientos y, además, los turistas pueden pagar precios más altos, por lo que se produce un aumento generalizado del precio por m2. </w:t>
      </w:r>
    </w:p>
    <w:p w14:paraId="6056E814" w14:textId="77777777" w:rsidR="009F541F" w:rsidRDefault="009F541F" w:rsidP="009F541F">
      <w:pPr>
        <w:spacing w:after="375" w:line="360" w:lineRule="auto"/>
        <w:ind w:left="-5" w:hanging="10"/>
        <w:jc w:val="both"/>
      </w:pPr>
      <w:r>
        <w:rPr>
          <w:rFonts w:ascii="Arial" w:hAnsi="Arial"/>
        </w:rPr>
        <w:t xml:space="preserve">Conscientes de este impacto, cada vez son más las localidades que han tomado la decisión de entender el turismo, las viviendas turísticas, como una actividad económica y regularla como cualquier actividad económica. Tenemos cerca el caso de Bilbao o Donostia-San Sebastián, así como el de Errenteria u Oiartzun, que son más pequeños, o el de Zumaia, que se encuentra al lado. </w:t>
      </w:r>
    </w:p>
    <w:p w14:paraId="0112435A" w14:textId="77777777" w:rsidR="009F541F" w:rsidRDefault="009F541F" w:rsidP="009F541F">
      <w:pPr>
        <w:spacing w:after="375" w:line="360" w:lineRule="auto"/>
        <w:ind w:left="-5" w:hanging="10"/>
        <w:jc w:val="both"/>
      </w:pPr>
      <w:r>
        <w:rPr>
          <w:rFonts w:ascii="Arial" w:hAnsi="Arial"/>
        </w:rPr>
        <w:t>Actualmente no se han detectado incrementos significativos de pisos turísticos en Zestoa. En cualquier caso, teniendo en cuenta las medidas que se están adoptando en las ciudades y pueblos del entorno, el riesgo de especulación turística es real. Por ejemplo, podría desplazarse de Zumaia a Zestoa. Si esto ocurriera de forma significativa, Zestoa se vería gravemente perjudicado para garantizar el derecho a la vivienda, ya que el escaso parque existente podría destinarse a un uso especulativo.</w:t>
      </w:r>
    </w:p>
    <w:p w14:paraId="34AE7F61" w14:textId="77777777" w:rsidR="009F541F" w:rsidRDefault="009F541F" w:rsidP="009F541F">
      <w:pPr>
        <w:spacing w:after="375" w:line="360" w:lineRule="auto"/>
        <w:ind w:left="-5" w:hanging="10"/>
        <w:jc w:val="both"/>
      </w:pPr>
      <w:r>
        <w:rPr>
          <w:rFonts w:ascii="Arial" w:hAnsi="Arial"/>
        </w:rPr>
        <w:t>Por otro lado, cabe destacar que el ayuntamiento de Zestoa ha adoptado medidas en este ámbito. De hecho, se ha hecho una interpretación local de las últimas sentencias sobre viviendas turísticas, dentro de la ley, y es esto lo que dicen las Normas Subsidiarias vigentes: las viviendas turísticas son un negocio, por lo que, en caso de implantarlas, deberán abarcar todo el bloque. Evidentemente, esto limita considerablemente los impactos que pueden generar.</w:t>
      </w:r>
    </w:p>
    <w:p w14:paraId="2559821C"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El Plan recomienda hacer un seguimiento de la situación, es decir, prestar atención al crecimiento de los alojamientos y hacer cumplir la normativa vigente. En caso de que la situación cambiara y el ayuntamiento optara por regularla, deberá seguir los siguientes pasos:</w:t>
      </w:r>
    </w:p>
    <w:p w14:paraId="75E1314A" w14:textId="77777777" w:rsidR="009F541F" w:rsidRDefault="009F541F" w:rsidP="009F541F">
      <w:pPr>
        <w:numPr>
          <w:ilvl w:val="0"/>
          <w:numId w:val="14"/>
        </w:numPr>
        <w:spacing w:after="3" w:line="360" w:lineRule="auto"/>
        <w:ind w:hanging="360"/>
        <w:jc w:val="both"/>
      </w:pPr>
      <w:r>
        <w:rPr>
          <w:rFonts w:ascii="Arial" w:hAnsi="Arial"/>
        </w:rPr>
        <w:t xml:space="preserve">La ley reconoce la competencia de las comunidades de vecinos para prohibir la instalación de pisos turísticos. El ayuntamiento puede aportar información sobre el modelo para poder decidir al respecto. </w:t>
      </w:r>
    </w:p>
    <w:p w14:paraId="5B2CE685" w14:textId="77777777" w:rsidR="009F541F" w:rsidRDefault="009F541F" w:rsidP="009F541F">
      <w:pPr>
        <w:numPr>
          <w:ilvl w:val="0"/>
          <w:numId w:val="14"/>
        </w:numPr>
        <w:spacing w:after="5" w:line="360" w:lineRule="auto"/>
        <w:ind w:hanging="360"/>
        <w:jc w:val="both"/>
      </w:pPr>
      <w:r>
        <w:rPr>
          <w:rFonts w:ascii="Arial" w:hAnsi="Arial"/>
        </w:rPr>
        <w:t>Estudiar la posibilidad de realizar una moratoria, una ordenanza y una modificación de las Normas Urbanísticas Generales del PGOU, o establecer medidas más estrictas en el que se está redactando.</w:t>
      </w:r>
      <w:r>
        <w:br w:type="page"/>
      </w:r>
    </w:p>
    <w:p w14:paraId="64945D7F" w14:textId="77777777" w:rsidR="009F541F" w:rsidRDefault="009F541F" w:rsidP="009F541F">
      <w:pPr>
        <w:pStyle w:val="Ttulo2"/>
        <w:spacing w:after="490" w:line="361" w:lineRule="auto"/>
        <w:ind w:left="242" w:right="232"/>
        <w:jc w:val="center"/>
      </w:pPr>
      <w:bookmarkStart w:id="7" w:name="_Toc198023383"/>
      <w:r>
        <w:rPr>
          <w:rFonts w:ascii="Arial" w:hAnsi="Arial"/>
          <w:color w:val="C9211E"/>
          <w:sz w:val="28"/>
        </w:rPr>
        <w:t>3º EJE: SISTEMA DE PRESTACIONES Y SUBVENCIONES DE ALQUILER</w:t>
      </w:r>
      <w:bookmarkEnd w:id="7"/>
    </w:p>
    <w:p w14:paraId="2AD3C188" w14:textId="77777777" w:rsidR="009F541F" w:rsidRDefault="009F541F" w:rsidP="009F541F">
      <w:pPr>
        <w:spacing w:after="252" w:line="250" w:lineRule="auto"/>
        <w:ind w:left="-5" w:hanging="10"/>
        <w:jc w:val="both"/>
      </w:pPr>
      <w:r>
        <w:rPr>
          <w:rFonts w:ascii="Arial" w:hAnsi="Arial"/>
          <w:b/>
          <w:sz w:val="28"/>
        </w:rPr>
        <w:t>ESTRATEGIA 3.1. Subvenciones para la emancipación de los jóvenes.</w:t>
      </w:r>
    </w:p>
    <w:p w14:paraId="18B44391" w14:textId="77777777" w:rsidR="009F541F" w:rsidRDefault="009F541F" w:rsidP="009F541F">
      <w:pPr>
        <w:spacing w:after="375" w:line="360" w:lineRule="auto"/>
        <w:ind w:left="-5" w:hanging="10"/>
        <w:jc w:val="both"/>
      </w:pPr>
      <w:r>
        <w:rPr>
          <w:rFonts w:ascii="Arial" w:hAnsi="Arial"/>
        </w:rPr>
        <w:t xml:space="preserve">Debido al descenso de la natalidad desde la década de los 80, el peso demográfico de la juventud de Zestoa, entre los 20 y los 34 años, ha descendido considerablemente en los últimos veinte años: Habiendo perdido 200 miembros, se limita al 13,8 % de la población. Por otra parte, el crecimiento entre 2001 y 2011 se traduce en un aumento del tramo de 0 a 19 años, descendientes de los que vinieron aquellos años. Así, en la actualidad en Zestoa hay 533 jóvenes y, aunque el rango 0-19 es muy amplio, hay 849 personas en esa franja. Las políticas de vivienda deberán tener en cuenta a estas personas para evitar dinámicas de emigración a corto-medio plazo. </w:t>
      </w:r>
    </w:p>
    <w:p w14:paraId="5690DE40" w14:textId="77777777" w:rsidR="009F541F" w:rsidRDefault="009F541F" w:rsidP="009F541F">
      <w:pPr>
        <w:spacing w:after="375" w:line="360" w:lineRule="auto"/>
        <w:ind w:left="-5" w:hanging="10"/>
        <w:jc w:val="both"/>
      </w:pPr>
      <w:r>
        <w:rPr>
          <w:rFonts w:ascii="Arial" w:hAnsi="Arial"/>
        </w:rPr>
        <w:t xml:space="preserve">En este sentido, preocupa que haya sido así en los últimos años. Más de un tercio de las personas que han abandonado el municipio (35,2 %) han sido jóvenes de 20 a 34 años. Como se ha explicado en el diagnóstico, estos datos confirman que las personas que han abandonado el municipio son mayoritariamente jóvenes. </w:t>
      </w:r>
    </w:p>
    <w:p w14:paraId="0EAB2F85" w14:textId="77777777" w:rsidR="009F541F" w:rsidRDefault="009F541F" w:rsidP="009F541F">
      <w:pPr>
        <w:spacing w:after="375" w:line="360" w:lineRule="auto"/>
        <w:ind w:left="-5" w:hanging="10"/>
        <w:jc w:val="both"/>
      </w:pPr>
      <w:r>
        <w:rPr>
          <w:rFonts w:ascii="Arial" w:hAnsi="Arial"/>
        </w:rPr>
        <w:t xml:space="preserve">En cuanto a la relación entre vivienda y juventud, el estudio realizado ha aclarado lo siguiente: Zestoa cuenta con 209 personas jóvenes emancipadas de entre 18 y 34 años, lo que representa el 34,1 % de las personas de esa franja de edad del municipio. Esto sitúa a Zestoa cerca de la tasa del país. </w:t>
      </w:r>
    </w:p>
    <w:p w14:paraId="584AB4DE" w14:textId="77777777" w:rsidR="009F541F" w:rsidRDefault="009F541F" w:rsidP="009F541F">
      <w:pPr>
        <w:spacing w:after="107"/>
        <w:ind w:left="-5" w:hanging="10"/>
        <w:jc w:val="both"/>
      </w:pPr>
      <w:r>
        <w:rPr>
          <w:rFonts w:ascii="Arial" w:hAnsi="Arial"/>
        </w:rPr>
        <w:t>En cuanto a la demanda de vivienda, el Departamento de Planificación Territorial, Vivienda y Transportes del Gobierno Vasco cuenta con 114 solicitudes de personas menores de 36 años.</w:t>
      </w:r>
    </w:p>
    <w:p w14:paraId="4509814A" w14:textId="77777777" w:rsidR="009F541F" w:rsidRDefault="009F541F" w:rsidP="009F541F">
      <w:pPr>
        <w:spacing w:after="375" w:line="360" w:lineRule="auto"/>
        <w:ind w:left="-5" w:hanging="10"/>
        <w:jc w:val="both"/>
      </w:pPr>
      <w:r>
        <w:rPr>
          <w:rFonts w:ascii="Arial" w:hAnsi="Arial"/>
        </w:rPr>
        <w:t xml:space="preserve"> Por otra parte, los programas que tratan de favorecer la emancipación de las personas jóvenes cumplen un papel fundamental en este ámbito. A través del programa Gaztelagun, el Gobierno Vasco ha gestionado 36 expedientes de Zestoa. Hoy en día hay 10 expedientes activos, y 12 están ya cerrados. A los 14 restantes aún no se les ha asignado ninguna subvención o no les corresponde ninguna prestación. En cuanto al perfil de las personas demandantes, el 52,8 % de las solicitudes corresponden a personas entre 24 y 29 años. </w:t>
      </w:r>
    </w:p>
    <w:p w14:paraId="18B1C927" w14:textId="77777777" w:rsidR="009F541F" w:rsidRDefault="009F541F" w:rsidP="009F541F">
      <w:pPr>
        <w:spacing w:after="375" w:line="360" w:lineRule="auto"/>
        <w:ind w:left="-5" w:hanging="10"/>
        <w:jc w:val="both"/>
      </w:pPr>
      <w:r>
        <w:rPr>
          <w:rFonts w:ascii="Arial" w:hAnsi="Arial"/>
        </w:rPr>
        <w:t xml:space="preserve">El ayuntamiento de Zestoa se ha centrado en la emancipación juvenil. Año tras año ha puesto en marcha una subvención específica (40.000 euros). Sin embargo, entendiendo que había duplicidad con la del Gobierno Vasco, se ha visto suspendida en los presupuestos del año 2025. </w:t>
      </w:r>
    </w:p>
    <w:p w14:paraId="777EABC4" w14:textId="77777777" w:rsidR="009F541F" w:rsidRDefault="009F541F" w:rsidP="009F541F">
      <w:pPr>
        <w:spacing w:after="463" w:line="265" w:lineRule="auto"/>
        <w:ind w:left="-5" w:hanging="10"/>
        <w:jc w:val="both"/>
      </w:pPr>
      <w:r>
        <w:rPr>
          <w:rFonts w:ascii="Arial" w:hAnsi="Arial"/>
          <w:b/>
          <w:color w:val="C9211E"/>
          <w:sz w:val="26"/>
        </w:rPr>
        <w:t>ACCIÓN 3.1.1. Promoción de los programas Gaztelagun y Emantzipa</w:t>
      </w:r>
    </w:p>
    <w:p w14:paraId="51906CCC"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Como se ha dicho, el Gobierno Vasco ya ha tramitado los expedientes de 36 zestoarras. Lo razonable es que el ayuntamiento intente poner esta opción de ayuda a disposición de los jóvenes del municipio, tal y como lo ha hecho hasta ahora. </w:t>
      </w:r>
    </w:p>
    <w:p w14:paraId="2CAAABD9" w14:textId="77777777" w:rsidR="009F541F" w:rsidRDefault="009F541F" w:rsidP="009F541F">
      <w:pPr>
        <w:spacing w:after="375" w:line="360" w:lineRule="auto"/>
        <w:ind w:left="-5" w:hanging="10"/>
        <w:jc w:val="both"/>
      </w:pPr>
      <w:r>
        <w:rPr>
          <w:rFonts w:ascii="Arial" w:hAnsi="Arial"/>
        </w:rPr>
        <w:t>En este sentido conviene aclarar, aunque sea someramente, el carácter diferenciado de ambas ayudas:</w:t>
      </w:r>
    </w:p>
    <w:p w14:paraId="2A8F603A" w14:textId="77777777" w:rsidR="009F541F" w:rsidRDefault="009F541F" w:rsidP="009F541F">
      <w:pPr>
        <w:numPr>
          <w:ilvl w:val="0"/>
          <w:numId w:val="15"/>
        </w:numPr>
        <w:spacing w:after="2" w:line="360" w:lineRule="auto"/>
        <w:ind w:hanging="360"/>
        <w:jc w:val="both"/>
      </w:pPr>
      <w:r>
        <w:rPr>
          <w:rFonts w:ascii="Arial" w:hAnsi="Arial"/>
        </w:rPr>
        <w:t>Gaztelagun: Para menores de 36 años, apoyo al alquiler libre con 300 euros al mes y hasta un máximo de 750 €/ mes de alquiler. No son compatibles con otras ayudas similares y la unidad convivencial debe estar en las siguientes barreras de renta: 3.000/24.500 cuando el solicitante es único y 3.000/30.000 en el caso de unidades convivenciales.</w:t>
      </w:r>
    </w:p>
    <w:p w14:paraId="596B53FB" w14:textId="77777777" w:rsidR="009F541F" w:rsidRDefault="009F541F" w:rsidP="009F541F">
      <w:pPr>
        <w:numPr>
          <w:ilvl w:val="0"/>
          <w:numId w:val="15"/>
        </w:numPr>
        <w:spacing w:after="756" w:line="360" w:lineRule="auto"/>
        <w:ind w:hanging="360"/>
        <w:jc w:val="both"/>
      </w:pPr>
      <w:r>
        <w:rPr>
          <w:rFonts w:ascii="Arial" w:hAnsi="Arial"/>
        </w:rPr>
        <w:t>Programa Emantzipa: dirigido a jóvenes de 25 a 29 años empadronados en Euskadi que han iniciado su emancipación. 300 euros/mes, con un mínimo de dos años. Las rentas podrán ser utilizadas, dentro de unos límites, para ayudar en la hipoteca.</w:t>
      </w:r>
    </w:p>
    <w:p w14:paraId="0581A5E5"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Informar y colaborar en la tramitación de los programas Gaztelagun y Emantzipa entre los jóvenes de Zestoa. A tal efecto:</w:t>
      </w:r>
    </w:p>
    <w:p w14:paraId="59C5F045" w14:textId="77777777" w:rsidR="009F541F" w:rsidRDefault="009F541F" w:rsidP="009F541F">
      <w:pPr>
        <w:numPr>
          <w:ilvl w:val="0"/>
          <w:numId w:val="15"/>
        </w:numPr>
        <w:spacing w:after="5" w:line="360" w:lineRule="auto"/>
        <w:ind w:hanging="360"/>
        <w:jc w:val="both"/>
      </w:pPr>
      <w:r>
        <w:rPr>
          <w:rFonts w:ascii="Arial" w:hAnsi="Arial"/>
        </w:rPr>
        <w:t>Se realizará un balance del trabajo realizado hasta la fecha y se definirán medidas para mejorar tanto la comunicación como la asistencia directa.</w:t>
      </w:r>
    </w:p>
    <w:p w14:paraId="199F7C1B" w14:textId="77777777" w:rsidR="009F541F" w:rsidRDefault="009F541F" w:rsidP="009F541F">
      <w:pPr>
        <w:numPr>
          <w:ilvl w:val="0"/>
          <w:numId w:val="15"/>
        </w:numPr>
        <w:spacing w:after="3" w:line="360" w:lineRule="auto"/>
        <w:ind w:hanging="360"/>
        <w:jc w:val="both"/>
      </w:pPr>
      <w:r>
        <w:rPr>
          <w:rFonts w:ascii="Arial" w:hAnsi="Arial"/>
        </w:rPr>
        <w:t xml:space="preserve">Agentes estratégicos que trabajan con jóvenes: Para aumentar la difusión de las ayudas existentes, el ayuntamiento se pondrá en contacto con los agentes estratégicos de Zestoa para determinar las formas más adecuadas de notificación. </w:t>
      </w:r>
    </w:p>
    <w:p w14:paraId="1668E703" w14:textId="77777777" w:rsidR="009F541F" w:rsidRDefault="009F541F" w:rsidP="009F541F">
      <w:pPr>
        <w:numPr>
          <w:ilvl w:val="0"/>
          <w:numId w:val="15"/>
        </w:numPr>
        <w:spacing w:after="3" w:line="360" w:lineRule="auto"/>
        <w:ind w:hanging="360"/>
        <w:jc w:val="both"/>
      </w:pPr>
      <w:r>
        <w:rPr>
          <w:rFonts w:ascii="Arial" w:hAnsi="Arial"/>
        </w:rPr>
        <w:t>Se reforzará la comunicación general: portal web y canales de comunicación habituales (carteles, redes sociales y, si se ve, cartas a los domicilios de los potenciales destinatarios).</w:t>
      </w:r>
    </w:p>
    <w:p w14:paraId="51731157" w14:textId="77777777" w:rsidR="009F541F" w:rsidRDefault="009F541F" w:rsidP="009F541F">
      <w:pPr>
        <w:numPr>
          <w:ilvl w:val="0"/>
          <w:numId w:val="15"/>
        </w:numPr>
        <w:spacing w:after="400" w:line="360" w:lineRule="auto"/>
        <w:ind w:hanging="360"/>
        <w:jc w:val="both"/>
      </w:pPr>
      <w:r>
        <w:rPr>
          <w:rFonts w:ascii="Arial" w:hAnsi="Arial"/>
        </w:rPr>
        <w:t>Acogida municipal: telefónica o presencial para atender a la persona joven que necesita ayuda.</w:t>
      </w:r>
    </w:p>
    <w:p w14:paraId="466D19BC"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p>
    <w:p w14:paraId="6281270C" w14:textId="77777777" w:rsidR="009F541F" w:rsidRDefault="009F541F" w:rsidP="009F541F">
      <w:pPr>
        <w:spacing w:after="613" w:line="250" w:lineRule="auto"/>
        <w:ind w:left="-5" w:hanging="10"/>
        <w:jc w:val="both"/>
      </w:pPr>
      <w:r>
        <w:rPr>
          <w:rFonts w:ascii="Arial" w:hAnsi="Arial"/>
          <w:b/>
          <w:sz w:val="28"/>
        </w:rPr>
        <w:t>ESTRATEGIA 3.2. Subvenciones para alquiler destinadas a colectivos en dificultades.</w:t>
      </w:r>
    </w:p>
    <w:p w14:paraId="0FC3EAD4" w14:textId="77777777" w:rsidR="009F541F" w:rsidRDefault="009F541F" w:rsidP="009F541F">
      <w:pPr>
        <w:spacing w:after="234" w:line="265" w:lineRule="auto"/>
        <w:ind w:left="-5" w:hanging="10"/>
        <w:jc w:val="both"/>
      </w:pPr>
      <w:r>
        <w:rPr>
          <w:rFonts w:ascii="Arial" w:hAnsi="Arial"/>
          <w:b/>
          <w:color w:val="C9211E"/>
          <w:sz w:val="26"/>
        </w:rPr>
        <w:t>ACCIÓN 3.2.1. Impulso del derecho subjetivo al acceso a vivienda y de la prestación de vivienda.</w:t>
      </w:r>
    </w:p>
    <w:p w14:paraId="6A1476F8"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El Decreto 147/2023, de 10 de octubre, del derecho subjetivo de acceso a la ocupación de una vivienda, entró en vigor el 2 de abril. En desarrollo de la Ley 3/2015, de 18 de junio, de Vivienda, este Decreto tiene por objeto regular el derecho subjetivo de acceso a la ocupación de una vivienda. Contempla el ejercicio del derecho subjetivo a la vivienda a través de dos modalidades: la adjudicación de una vivienda en régimen de alquiler o de un alojamiento dotacional con un canon, y la concesión de la prestación económica de vivienda. Esta segunda opción regula la concesión subsidiaria cuando no proceda la adjudicación de vivienda o alojamiento dotacional.</w:t>
      </w:r>
    </w:p>
    <w:p w14:paraId="2E24EB86" w14:textId="77777777" w:rsidR="009F541F" w:rsidRDefault="009F541F" w:rsidP="009F541F">
      <w:pPr>
        <w:spacing w:after="375" w:line="360" w:lineRule="auto"/>
        <w:ind w:left="-5" w:hanging="10"/>
        <w:jc w:val="both"/>
      </w:pPr>
      <w:r>
        <w:rPr>
          <w:rFonts w:ascii="Arial" w:hAnsi="Arial"/>
        </w:rPr>
        <w:t xml:space="preserve">Mediante el presente Decreto, la hasta ahora conocida como Prestación Complementaria de Vivienda (PCV) pasará a denominarse Prestación Económica de Vivienda (PEV). Así, las PEVs serán gestionadas directamente por Etxebide, siendo necesario tener antigüedad en Etxebide y además serán compatibles con las AES. Esto supondrá cambios tanto en las obligaciones y oportunidades de las personas destinatarias como en las necesidades de coordinación institucional. </w:t>
      </w:r>
    </w:p>
    <w:p w14:paraId="596C4EF1" w14:textId="77777777" w:rsidR="009F541F" w:rsidRDefault="009F541F" w:rsidP="009F541F">
      <w:pPr>
        <w:spacing w:after="375" w:line="360" w:lineRule="auto"/>
        <w:ind w:left="-5" w:hanging="10"/>
        <w:jc w:val="both"/>
      </w:pPr>
      <w:r>
        <w:rPr>
          <w:rFonts w:ascii="Arial" w:hAnsi="Arial"/>
        </w:rPr>
        <w:t xml:space="preserve">En el marco del derecho subjetivo de acceso a la vivienda, el Gobierno Vasco tiene 11 expedientes activos en Zestoa a finales de enero de 2024.  Se ha adjudicado vivienda a 8 expedientes y en otros dos casos se les reconoció la situación de adjudicación preferente. Sólo una de las personas de Zestoa es perceptora de la Prestación Económica de Vivienda (PEV). La gestión del derecho subjetivo a la vivienda se realiza actualmente a través de los Servicios Sociales de Zestoa. </w:t>
      </w:r>
    </w:p>
    <w:p w14:paraId="2B1D5688"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Informar y asesorar sobre este cambio de la Prestación Complementaria de Vivienda (PCV) a Prestación Económica de Vivienda (PEV) a ciudadanos y ciudadanas con esa necesidad. Por otro lado, es importante la relación entre los Servicios Sociales y la figura que llevará las políticas de Vivienda para dar una solución adecuada a los casos. </w:t>
      </w:r>
    </w:p>
    <w:p w14:paraId="1F8D7739"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 (Etxebide).</w:t>
      </w:r>
    </w:p>
    <w:p w14:paraId="11239B0E" w14:textId="77777777" w:rsidR="009F541F" w:rsidRDefault="009F541F" w:rsidP="009F541F">
      <w:pPr>
        <w:spacing w:after="281" w:line="360" w:lineRule="auto"/>
        <w:ind w:left="-5" w:hanging="10"/>
        <w:jc w:val="both"/>
      </w:pPr>
      <w:r>
        <w:rPr>
          <w:rFonts w:ascii="Arial" w:hAnsi="Arial"/>
          <w:b/>
          <w:sz w:val="28"/>
        </w:rPr>
        <w:t>ESTRATEGIA 3.3. Subvenciones y alternativas habitacionales destinadas al pago del alquiler para personas en situación económica vulnerable y en riesgo de exclusión.</w:t>
      </w:r>
    </w:p>
    <w:p w14:paraId="1E00174B" w14:textId="77777777" w:rsidR="009F541F" w:rsidRDefault="009F541F" w:rsidP="009F541F">
      <w:pPr>
        <w:spacing w:after="234" w:line="265" w:lineRule="auto"/>
        <w:ind w:left="-5" w:hanging="10"/>
        <w:jc w:val="both"/>
      </w:pPr>
      <w:r>
        <w:rPr>
          <w:rFonts w:ascii="Arial" w:hAnsi="Arial"/>
          <w:b/>
          <w:color w:val="C9211E"/>
          <w:sz w:val="26"/>
        </w:rPr>
        <w:t>ACCIÓN 3.3.1. Ayudas de Emergencia Social (AES).</w:t>
      </w:r>
    </w:p>
    <w:p w14:paraId="048A5C5C"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Las Ayudas de Emergencia Social son ayudas destinadas a aquellas personas cuyos recursos resulten insuficientes para hacer frente a los gastos necesarios para prevenir o paliar situaciones de exclusión social. En Zestoa estas ayudas se gestionan desde el departamento de Servicios Sociales. </w:t>
      </w:r>
    </w:p>
    <w:p w14:paraId="4B05ED2B" w14:textId="3791B068" w:rsidR="009F541F" w:rsidRDefault="009F541F" w:rsidP="009F541F">
      <w:pPr>
        <w:spacing w:after="375" w:line="360" w:lineRule="auto"/>
        <w:ind w:left="-5" w:hanging="10"/>
        <w:jc w:val="both"/>
      </w:pPr>
      <w:r>
        <w:rPr>
          <w:rFonts w:ascii="Arial" w:hAnsi="Arial"/>
        </w:rPr>
        <w:t xml:space="preserve">Los responsables municipales han valorado positivamente el papel desempeñado hasta la fecha por las AES. Asimismo, se considera que se realiza una gestión adecuada, por lo que no se realizarán propuestas específicas en este ámbito. El único elemento </w:t>
      </w:r>
      <w:r w:rsidR="00EE3232">
        <w:rPr>
          <w:rFonts w:ascii="Arial" w:hAnsi="Arial"/>
        </w:rPr>
        <w:t>por</w:t>
      </w:r>
      <w:r>
        <w:rPr>
          <w:rFonts w:ascii="Arial" w:hAnsi="Arial"/>
        </w:rPr>
        <w:t xml:space="preserve"> considerar será el cambio de la PCV a la PEV, ya que, como se ha explicado en el apartado anterior, ello supondrá adecuaciones.</w:t>
      </w:r>
    </w:p>
    <w:p w14:paraId="3D6869DB"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Seguir elaborando el presupuesto adecuado a las necesidades y continuar con la gestión de las campañas y ayudas de información.</w:t>
      </w:r>
    </w:p>
    <w:p w14:paraId="69B1CB3A"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p>
    <w:p w14:paraId="64CE53A6" w14:textId="77777777" w:rsidR="009F541F" w:rsidRDefault="009F541F" w:rsidP="009F541F">
      <w:pPr>
        <w:spacing w:after="316" w:line="265" w:lineRule="auto"/>
        <w:ind w:left="-5" w:hanging="10"/>
        <w:jc w:val="both"/>
      </w:pPr>
      <w:r>
        <w:rPr>
          <w:rFonts w:ascii="Arial" w:hAnsi="Arial"/>
          <w:b/>
          <w:color w:val="C9211E"/>
          <w:sz w:val="26"/>
        </w:rPr>
        <w:t>ACCIÓN 3.3.2. Alternativas habitacionales para personas en riesgo de exclusión y en situación de vulnerabilidad</w:t>
      </w:r>
    </w:p>
    <w:p w14:paraId="5A6BF081"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El ayuntamiento de Zestoa no dispone de vivienda adaptada para situaciones de emergencia. Por ello, el ayuntamiento no dispone en la actualidad de una edificación que ofrezca una alternativa temporal a la familia que precise de una alternativa de vivienda. </w:t>
      </w:r>
    </w:p>
    <w:p w14:paraId="79F65F99" w14:textId="77777777" w:rsidR="009F541F" w:rsidRDefault="009F541F" w:rsidP="009F541F">
      <w:pPr>
        <w:spacing w:after="375" w:line="360" w:lineRule="auto"/>
        <w:ind w:left="-5" w:hanging="10"/>
        <w:jc w:val="both"/>
      </w:pPr>
      <w:r>
        <w:rPr>
          <w:rFonts w:ascii="Arial" w:hAnsi="Arial"/>
        </w:rPr>
        <w:t>Por otra parte, el ayuntamiento tiene la posibilidad de realizar una adjudicación preferente de Bizigune a la familia en riesgo de desahucio. Para ello el ayuntamiento debe realizar una serie de trámites y ser garante del alquiler durante un año. En ausencia de vivienda pública, esta medida puede ser adecuada para quien tenga que afrontar un desahucio.</w:t>
      </w:r>
    </w:p>
    <w:p w14:paraId="7BBE6F82"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Se realizará un estudio para conocer las posibilidades de adaptación de una vivienda de emergencia en el marco de la redacción del PGOU. Esta vivienda cumpliría la función de casa de acogida. El objetivo de este piso de acogida es ofrecer alojamiento a las personas y unidades convivenciales que precisen de estancia para corto tiempo.</w:t>
      </w:r>
    </w:p>
    <w:p w14:paraId="53C8C30A" w14:textId="77777777" w:rsidR="009F541F" w:rsidRDefault="009F541F" w:rsidP="009F541F">
      <w:pPr>
        <w:spacing w:after="375" w:line="360" w:lineRule="auto"/>
        <w:ind w:left="-5" w:hanging="10"/>
        <w:jc w:val="both"/>
      </w:pPr>
      <w:r>
        <w:rPr>
          <w:rFonts w:ascii="Arial" w:hAnsi="Arial"/>
        </w:rPr>
        <w:t>Por otro lado, y especialmente en el caso de los desahucios, se garantizará la adecuada coordinación entre los juzgados y los Servicios Sociales. Asimismo, el ayuntamiento valorará ofrecer la alternativa a través de Bizigune a los afectados por el desahucio, y se comprometerá a ello en caso de estimarlo oportuno.</w:t>
      </w:r>
    </w:p>
    <w:p w14:paraId="57EF375D"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w:t>
      </w:r>
    </w:p>
    <w:p w14:paraId="0F2BD7BC" w14:textId="77777777" w:rsidR="009F541F" w:rsidRDefault="009F541F" w:rsidP="009F541F">
      <w:pPr>
        <w:spacing w:after="626" w:line="359" w:lineRule="auto"/>
        <w:ind w:left="-5" w:hanging="10"/>
        <w:jc w:val="both"/>
      </w:pPr>
      <w:r>
        <w:rPr>
          <w:rFonts w:ascii="Arial" w:hAnsi="Arial"/>
          <w:b/>
          <w:sz w:val="28"/>
        </w:rPr>
        <w:t>ESTRATEGIA 3.4. Estrategias y control de precios derivados de la declaración de zona tensionada y protección de colectivos vulnerables.</w:t>
      </w:r>
    </w:p>
    <w:p w14:paraId="1FFFFED2" w14:textId="77777777" w:rsidR="009F541F" w:rsidRDefault="009F541F" w:rsidP="009F541F">
      <w:pPr>
        <w:spacing w:after="412" w:line="361" w:lineRule="auto"/>
        <w:ind w:left="-5" w:hanging="10"/>
        <w:jc w:val="both"/>
      </w:pPr>
      <w:r>
        <w:rPr>
          <w:rFonts w:ascii="Arial" w:hAnsi="Arial"/>
          <w:b/>
          <w:color w:val="C9211E"/>
          <w:sz w:val="26"/>
        </w:rPr>
        <w:t>ACCIÓN 3.4.1. En el ámbito de la declaración de zona tensionada. Aplicación y seguimiento de los efectos de la Ley 12/2023, de 24 de mayo.</w:t>
      </w:r>
    </w:p>
    <w:p w14:paraId="3ADF889E"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El ayuntamiento de Zestoa, en el marco de la Ley 12/2023, de 24 de mayo, de Derecho a la Vivienda, y dentro de la iniciativa emprendida por el Gobierno Vasco, ha iniciado los pasos para la declaración de Zestoa como zona tensionada, de acuerdo con las bases definidas.</w:t>
      </w:r>
    </w:p>
    <w:p w14:paraId="2C88F66F" w14:textId="1BC48978" w:rsidR="009F541F" w:rsidRDefault="009F541F" w:rsidP="009F541F">
      <w:pPr>
        <w:spacing w:after="417" w:line="360" w:lineRule="auto"/>
        <w:ind w:left="-5" w:hanging="10"/>
        <w:jc w:val="both"/>
      </w:pPr>
      <w:r>
        <w:rPr>
          <w:rFonts w:ascii="Arial" w:hAnsi="Arial"/>
          <w:u w:val="single" w:color="000000"/>
        </w:rPr>
        <w:t>DESCRIPCIÓN DE LA ACCIÓN:</w:t>
      </w:r>
      <w:r>
        <w:rPr>
          <w:rFonts w:ascii="Arial" w:hAnsi="Arial"/>
        </w:rPr>
        <w:t xml:space="preserve">  La declaración de la zona tensionada tendrá una vigencia mínima de 3 años desde la obtención de </w:t>
      </w:r>
      <w:r w:rsidR="00235AAC">
        <w:rPr>
          <w:rFonts w:ascii="Arial" w:hAnsi="Arial"/>
        </w:rPr>
        <w:t>esta</w:t>
      </w:r>
      <w:r>
        <w:rPr>
          <w:rFonts w:ascii="Arial" w:hAnsi="Arial"/>
        </w:rPr>
        <w:t xml:space="preserve"> y permitirá la adopción de las siguientes medidas:</w:t>
      </w:r>
    </w:p>
    <w:p w14:paraId="1D62BC6B" w14:textId="77777777" w:rsidR="009F541F" w:rsidRDefault="009F541F" w:rsidP="009F541F">
      <w:pPr>
        <w:numPr>
          <w:ilvl w:val="0"/>
          <w:numId w:val="16"/>
        </w:numPr>
        <w:spacing w:after="36" w:line="360" w:lineRule="auto"/>
        <w:ind w:hanging="360"/>
        <w:jc w:val="both"/>
      </w:pPr>
      <w:r>
        <w:rPr>
          <w:rFonts w:ascii="Arial" w:hAnsi="Arial"/>
        </w:rPr>
        <w:t>Aplicar medidas que limiten el aumento del precio del alquiler, tanto en la celebración de nuevos contratos con nuevos arrendatarios (limitación a la renta del contrato previo al alquiler), como en la aplicación de las limitaciones de los sistemas de índices de precios de referencia a las viviendas que no hayan estado alquiladas en los últimos 5 años (índice que ha de ser publicado por el Gobierno Vasco).</w:t>
      </w:r>
    </w:p>
    <w:p w14:paraId="6FE32245" w14:textId="77777777" w:rsidR="009F541F" w:rsidRDefault="009F541F" w:rsidP="009F541F">
      <w:pPr>
        <w:numPr>
          <w:ilvl w:val="0"/>
          <w:numId w:val="16"/>
        </w:numPr>
        <w:spacing w:after="119"/>
        <w:ind w:hanging="360"/>
        <w:jc w:val="both"/>
      </w:pPr>
      <w:r>
        <w:rPr>
          <w:rFonts w:ascii="Arial" w:hAnsi="Arial"/>
        </w:rPr>
        <w:t>Establecer una prórroga extraordinaria anual para los arrendatarios tras la finalización del contrato (5 años).</w:t>
      </w:r>
    </w:p>
    <w:p w14:paraId="77A6A341" w14:textId="77777777" w:rsidR="009F541F" w:rsidRDefault="009F541F" w:rsidP="009F541F">
      <w:pPr>
        <w:numPr>
          <w:ilvl w:val="0"/>
          <w:numId w:val="16"/>
        </w:numPr>
        <w:spacing w:after="36" w:line="360" w:lineRule="auto"/>
        <w:ind w:hanging="360"/>
        <w:jc w:val="both"/>
      </w:pPr>
      <w:r>
        <w:rPr>
          <w:rFonts w:ascii="Arial" w:hAnsi="Arial"/>
        </w:rPr>
        <w:t>Mayor protección del arrendatario frente a desahucios, en el caso de viviendas de grandes tenedores.</w:t>
      </w:r>
    </w:p>
    <w:p w14:paraId="4ED1EDEC" w14:textId="77777777" w:rsidR="009F541F" w:rsidRDefault="009F541F" w:rsidP="009F541F">
      <w:pPr>
        <w:numPr>
          <w:ilvl w:val="0"/>
          <w:numId w:val="16"/>
        </w:numPr>
        <w:spacing w:after="375" w:line="360" w:lineRule="auto"/>
        <w:ind w:hanging="360"/>
        <w:jc w:val="both"/>
      </w:pPr>
      <w:r>
        <w:rPr>
          <w:rFonts w:ascii="Arial" w:hAnsi="Arial"/>
        </w:rPr>
        <w:t>Asimismo, la ley prevé la posibilidad de adoptar medidas especiales frente a las grandes propiedades.</w:t>
      </w:r>
    </w:p>
    <w:p w14:paraId="66A15392" w14:textId="085697DC" w:rsidR="009F541F" w:rsidRDefault="009F541F" w:rsidP="009F541F">
      <w:pPr>
        <w:spacing w:after="375" w:line="360" w:lineRule="auto"/>
        <w:ind w:left="-5" w:hanging="10"/>
        <w:jc w:val="both"/>
      </w:pPr>
      <w:r>
        <w:rPr>
          <w:rFonts w:ascii="Arial" w:hAnsi="Arial"/>
        </w:rPr>
        <w:t xml:space="preserve">Aunque sea posible, las medidas no se aplicarán de forma inmediata. Por un </w:t>
      </w:r>
      <w:r w:rsidR="00BE6016">
        <w:rPr>
          <w:rFonts w:ascii="Arial" w:hAnsi="Arial"/>
        </w:rPr>
        <w:t>lado,</w:t>
      </w:r>
      <w:r>
        <w:rPr>
          <w:rFonts w:ascii="Arial" w:hAnsi="Arial"/>
        </w:rPr>
        <w:t xml:space="preserve"> habrá desconocimiento, por otro lado</w:t>
      </w:r>
      <w:r w:rsidR="00045148">
        <w:rPr>
          <w:rFonts w:ascii="Arial" w:hAnsi="Arial"/>
        </w:rPr>
        <w:t>,</w:t>
      </w:r>
      <w:r>
        <w:rPr>
          <w:rFonts w:ascii="Arial" w:hAnsi="Arial"/>
        </w:rPr>
        <w:t xml:space="preserve"> habrá resistencias por parte de algunos propietarios. Por otra parte, en la medida en que sea necesaria la coordinación interinstitucional (por ejemplo, el índice de precios debe ser publicado por el GV), serán competencias compartidas. Además, al tratarse de nuevos procedimientos, el personal municipal también tendrá que aprender sobre la marcha. </w:t>
      </w:r>
    </w:p>
    <w:p w14:paraId="560FE3E6" w14:textId="77777777" w:rsidR="009F541F" w:rsidRDefault="009F541F" w:rsidP="009F541F">
      <w:pPr>
        <w:spacing w:after="37" w:line="360" w:lineRule="auto"/>
        <w:ind w:left="-5" w:hanging="10"/>
        <w:jc w:val="both"/>
      </w:pPr>
      <w:r>
        <w:rPr>
          <w:rFonts w:ascii="Arial" w:hAnsi="Arial"/>
        </w:rPr>
        <w:t xml:space="preserve">Para responder de la mejor manera posible a estas dificultades, Zestoa propone prever la siguiente organización: </w:t>
      </w:r>
    </w:p>
    <w:p w14:paraId="3AA6E2EB" w14:textId="77777777" w:rsidR="009F541F" w:rsidRDefault="009F541F" w:rsidP="009F541F">
      <w:pPr>
        <w:numPr>
          <w:ilvl w:val="0"/>
          <w:numId w:val="16"/>
        </w:numPr>
        <w:spacing w:after="45" w:line="360" w:lineRule="auto"/>
        <w:ind w:hanging="360"/>
        <w:jc w:val="both"/>
      </w:pPr>
      <w:r>
        <w:rPr>
          <w:rFonts w:ascii="Arial" w:hAnsi="Arial"/>
          <w:b/>
          <w:bCs/>
        </w:rPr>
        <w:t>Mesa municipal de coordinación de las políticas de vivienda</w:t>
      </w:r>
      <w:r>
        <w:rPr>
          <w:rFonts w:ascii="Arial" w:hAnsi="Arial"/>
        </w:rPr>
        <w:t>: en la que además del responsable de vivienda y del alcalde, estarán presentes los concejales y técnicos necesarios. Si en el municipio hubiera alguna iniciativa popular relacionada con la vivienda, será invitada a la mesa.  Este Plan de Acción será el documento base que guiará la actuación de la Mesa. La Mesa, tras la ejecución de las acciones, el seguimiento de las existentes y las valoraciones, será la encargada de poner medidas correctoras a las políticas.</w:t>
      </w:r>
    </w:p>
    <w:p w14:paraId="2F5C2E95" w14:textId="77777777" w:rsidR="009F541F" w:rsidRDefault="009F541F" w:rsidP="009F541F">
      <w:pPr>
        <w:numPr>
          <w:ilvl w:val="0"/>
          <w:numId w:val="16"/>
        </w:numPr>
        <w:spacing w:after="757" w:line="360" w:lineRule="auto"/>
        <w:ind w:hanging="360"/>
        <w:jc w:val="both"/>
      </w:pPr>
      <w:r>
        <w:rPr>
          <w:rFonts w:ascii="Arial" w:hAnsi="Arial"/>
          <w:b/>
          <w:bCs/>
        </w:rPr>
        <w:t>Técnico en agilización de medidas de vivienda</w:t>
      </w:r>
      <w:r>
        <w:rPr>
          <w:rFonts w:ascii="Arial" w:hAnsi="Arial"/>
        </w:rPr>
        <w:t xml:space="preserve">: el plan propone realizar una contratación municipal de 6 a 12 meses. Es decir, la incorporación de una persona dedicada principalmente a las tareas de ejecución (completar el censo, realizar las emisiones, realizar las primeras atenciones) y que colabore con los responsables de las políticas de vivienda. Esta persona se puede unir al grupo a través de un contrato programa o desde la bolsa de trabajo. </w:t>
      </w:r>
    </w:p>
    <w:p w14:paraId="7E73E277"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r>
        <w:br w:type="page"/>
      </w:r>
    </w:p>
    <w:p w14:paraId="3EC3F55A" w14:textId="77777777" w:rsidR="009F541F" w:rsidRDefault="009F541F" w:rsidP="009F541F">
      <w:pPr>
        <w:pStyle w:val="Ttulo2"/>
        <w:spacing w:after="236" w:line="361" w:lineRule="auto"/>
        <w:ind w:left="242" w:right="232"/>
        <w:jc w:val="center"/>
      </w:pPr>
      <w:bookmarkStart w:id="8" w:name="_Toc198023384"/>
      <w:r>
        <w:rPr>
          <w:rFonts w:ascii="Arial" w:hAnsi="Arial"/>
          <w:color w:val="C9211E"/>
          <w:sz w:val="28"/>
        </w:rPr>
        <w:t>4º EJE:  SISTEMAS DE GOBERNANZA Y COORDINACIÓN INSTITUCIONAL</w:t>
      </w:r>
      <w:bookmarkEnd w:id="8"/>
    </w:p>
    <w:p w14:paraId="7EA85CED" w14:textId="77777777" w:rsidR="009F541F" w:rsidRDefault="009F541F" w:rsidP="009F541F">
      <w:pPr>
        <w:spacing w:after="611" w:line="250" w:lineRule="auto"/>
        <w:ind w:left="-5" w:hanging="10"/>
        <w:jc w:val="both"/>
      </w:pPr>
      <w:r>
        <w:rPr>
          <w:rFonts w:ascii="Arial" w:hAnsi="Arial"/>
          <w:b/>
          <w:sz w:val="28"/>
        </w:rPr>
        <w:t>4.1. ESTRATEGIA. Sistema de evaluación y seguimiento.</w:t>
      </w:r>
    </w:p>
    <w:p w14:paraId="1C01EB22" w14:textId="77777777" w:rsidR="009F541F" w:rsidRDefault="009F541F" w:rsidP="009F541F">
      <w:pPr>
        <w:spacing w:after="234" w:line="265" w:lineRule="auto"/>
        <w:ind w:left="-5" w:hanging="10"/>
        <w:jc w:val="both"/>
      </w:pPr>
      <w:r>
        <w:rPr>
          <w:rFonts w:ascii="Arial" w:hAnsi="Arial"/>
          <w:b/>
          <w:color w:val="C9211E"/>
          <w:sz w:val="26"/>
        </w:rPr>
        <w:t>ACCIÓN 4.1.1. Actualización de los indicadores asociados a la declaración de zona tensionada.</w:t>
      </w:r>
    </w:p>
    <w:p w14:paraId="10A634B9"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La Ley 12/2023 determina la necesidad de revisar los criterios principales establecidos en el artículo 18.3 para la identificación de zonas de mercado residencial tensionado, a los tres años de su entrada en vigor, para adaptarlos a la realidad y evolución del mercado residencial, en colaboración con las administraciones competentes en materia de vivienda.</w:t>
      </w:r>
    </w:p>
    <w:p w14:paraId="5341479E"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Revisión de los criterios tras el trienio para confirmar si persisten o no las condiciones que han definido la denominación ZMRT.</w:t>
      </w:r>
    </w:p>
    <w:p w14:paraId="0A654AE6"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w:t>
      </w:r>
      <w:r>
        <w:br w:type="page"/>
      </w:r>
    </w:p>
    <w:p w14:paraId="6AF70C81" w14:textId="77777777" w:rsidR="009F541F" w:rsidRDefault="009F541F" w:rsidP="009F541F">
      <w:pPr>
        <w:spacing w:after="323" w:line="265" w:lineRule="auto"/>
        <w:ind w:left="-5" w:hanging="10"/>
        <w:jc w:val="both"/>
      </w:pPr>
      <w:r>
        <w:rPr>
          <w:rFonts w:ascii="Arial" w:hAnsi="Arial"/>
          <w:b/>
          <w:color w:val="C9211E"/>
          <w:sz w:val="26"/>
        </w:rPr>
        <w:t>ACCIÓN 4.1.2. Evaluación anual del plan.</w:t>
      </w:r>
    </w:p>
    <w:p w14:paraId="22A79E7C" w14:textId="3E311979" w:rsidR="009F541F" w:rsidRDefault="009F541F" w:rsidP="009F541F">
      <w:pPr>
        <w:spacing w:after="375" w:line="360" w:lineRule="auto"/>
        <w:ind w:left="-5" w:hanging="10"/>
        <w:jc w:val="both"/>
      </w:pPr>
      <w:r>
        <w:rPr>
          <w:rFonts w:ascii="Arial" w:hAnsi="Arial"/>
          <w:u w:val="single" w:color="000000"/>
        </w:rPr>
        <w:t xml:space="preserve">CONTEXTO DE PARTIDA: </w:t>
      </w:r>
      <w:r>
        <w:rPr>
          <w:rFonts w:ascii="Arial" w:hAnsi="Arial"/>
        </w:rPr>
        <w:t xml:space="preserve">Es imprescindible confirmar que las acciones definidas en el cronograma del plan se están cumpliendo dentro de los plazos establecidos. A la hora de solicitar la prórroga de la declaración de zona tensionada una vez transcurrido el trienio, además de confirmar que persisten los motivos de </w:t>
      </w:r>
      <w:r w:rsidR="00E8710F">
        <w:rPr>
          <w:rFonts w:ascii="Arial" w:hAnsi="Arial"/>
        </w:rPr>
        <w:t>esta</w:t>
      </w:r>
      <w:r>
        <w:rPr>
          <w:rFonts w:ascii="Arial" w:hAnsi="Arial"/>
        </w:rPr>
        <w:t>, deberán justificarse las medidas y acciones públicas adoptadas con posterioridad a la declaración para subsanar o mejorar la situación.</w:t>
      </w:r>
    </w:p>
    <w:p w14:paraId="1377CB00" w14:textId="4A094FC6"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Valoración del cumplimiento de las actividades definidas y del cumplimiento de </w:t>
      </w:r>
      <w:r w:rsidR="00E8710F">
        <w:rPr>
          <w:rFonts w:ascii="Arial" w:hAnsi="Arial"/>
        </w:rPr>
        <w:t>estas</w:t>
      </w:r>
      <w:r>
        <w:rPr>
          <w:rFonts w:ascii="Arial" w:hAnsi="Arial"/>
        </w:rPr>
        <w:t xml:space="preserve"> en el plazo y condiciones establecidos. También se valorarán los cambios en las condiciones de acceso a la vivienda por parte de la ciudadanía de Zestoa.</w:t>
      </w:r>
    </w:p>
    <w:p w14:paraId="75B36B34"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w:t>
      </w:r>
      <w:r>
        <w:br w:type="page"/>
      </w:r>
    </w:p>
    <w:p w14:paraId="7F24B089" w14:textId="77777777" w:rsidR="009F541F" w:rsidRDefault="009F541F" w:rsidP="009F541F">
      <w:pPr>
        <w:spacing w:after="323" w:line="265" w:lineRule="auto"/>
        <w:ind w:left="-5" w:hanging="10"/>
        <w:jc w:val="both"/>
      </w:pPr>
      <w:r>
        <w:rPr>
          <w:rFonts w:ascii="Arial" w:hAnsi="Arial"/>
          <w:b/>
          <w:color w:val="C9211E"/>
          <w:sz w:val="26"/>
        </w:rPr>
        <w:t>ACCIÓN 4.1.3. Información a la ciudadanía</w:t>
      </w:r>
    </w:p>
    <w:p w14:paraId="3D956158" w14:textId="77777777" w:rsidR="009F541F" w:rsidRDefault="009F541F" w:rsidP="009F541F">
      <w:pPr>
        <w:spacing w:after="375" w:line="360" w:lineRule="auto"/>
        <w:ind w:left="-5" w:hanging="10"/>
        <w:jc w:val="both"/>
      </w:pPr>
      <w:r>
        <w:rPr>
          <w:rFonts w:ascii="Arial" w:hAnsi="Arial"/>
          <w:u w:val="single" w:color="000000"/>
        </w:rPr>
        <w:t>CONTEXTO DE PARTIDA:</w:t>
      </w:r>
      <w:r>
        <w:rPr>
          <w:rFonts w:ascii="Arial" w:hAnsi="Arial"/>
        </w:rPr>
        <w:t xml:space="preserve"> En los últimos años se han producido numerosos cambios en las políticas de vivienda y, como es natural, mucha gente no está suficientemente informada. De ahí que muchas veces surjan inquietudes o que no se reconozcan plenamente los derechos que corresponden a la persona, como por ejemplo las ayudas. </w:t>
      </w:r>
    </w:p>
    <w:p w14:paraId="26C44443" w14:textId="77777777" w:rsidR="009F541F" w:rsidRDefault="009F541F" w:rsidP="009F541F">
      <w:pPr>
        <w:spacing w:after="375" w:line="360" w:lineRule="auto"/>
        <w:ind w:left="-5" w:hanging="10"/>
        <w:jc w:val="both"/>
      </w:pPr>
      <w:r>
        <w:rPr>
          <w:rFonts w:ascii="Arial" w:hAnsi="Arial"/>
        </w:rPr>
        <w:t xml:space="preserve">El ayuntamiento de Zestoa va a poner en marcha una serie de medidas destinadas a la vivienda, con diferentes destinatarios. Por lo tanto, es fundamental presentarlas de forma coherente y clara a la ciudadanía. </w:t>
      </w:r>
    </w:p>
    <w:p w14:paraId="527B8944" w14:textId="77777777" w:rsidR="009F541F" w:rsidRDefault="009F541F" w:rsidP="009F541F">
      <w:pPr>
        <w:spacing w:after="1" w:line="360" w:lineRule="auto"/>
        <w:ind w:left="-5" w:hanging="10"/>
        <w:jc w:val="both"/>
      </w:pPr>
      <w:r>
        <w:rPr>
          <w:rFonts w:ascii="Arial" w:hAnsi="Arial"/>
          <w:u w:val="single" w:color="000000"/>
        </w:rPr>
        <w:t>DESCRIPCIÓN DE LA ACCIÓN:</w:t>
      </w:r>
      <w:r>
        <w:rPr>
          <w:rFonts w:ascii="Arial" w:hAnsi="Arial"/>
        </w:rPr>
        <w:t xml:space="preserve"> El Ayuntamiento debe tener un plan de comunicación claro a nivel interno. Y deberá aclarar al menos los siguientes campos:</w:t>
      </w:r>
    </w:p>
    <w:p w14:paraId="684DE81E" w14:textId="77777777" w:rsidR="009F541F" w:rsidRDefault="009F541F" w:rsidP="009F541F">
      <w:pPr>
        <w:numPr>
          <w:ilvl w:val="0"/>
          <w:numId w:val="17"/>
        </w:numPr>
        <w:spacing w:after="7" w:line="360" w:lineRule="auto"/>
        <w:ind w:hanging="360"/>
        <w:jc w:val="both"/>
      </w:pPr>
      <w:r>
        <w:rPr>
          <w:rFonts w:ascii="Arial" w:hAnsi="Arial"/>
        </w:rPr>
        <w:t>En el portal web municipal: actualmente no hay secciones destinadas a vivienda. Se deberá abrir y exponer la información de forma coherente.</w:t>
      </w:r>
    </w:p>
    <w:p w14:paraId="0FCEAEC1" w14:textId="77777777" w:rsidR="009F541F" w:rsidRDefault="009F541F" w:rsidP="009F541F">
      <w:pPr>
        <w:numPr>
          <w:ilvl w:val="0"/>
          <w:numId w:val="17"/>
        </w:numPr>
        <w:spacing w:after="114"/>
        <w:ind w:hanging="360"/>
        <w:jc w:val="both"/>
      </w:pPr>
      <w:r>
        <w:rPr>
          <w:rFonts w:ascii="Arial" w:hAnsi="Arial"/>
        </w:rPr>
        <w:t>Acciones de comunicación: tareas de prensa a realizar para comunicar las medidas, etc.</w:t>
      </w:r>
    </w:p>
    <w:p w14:paraId="0712CC27" w14:textId="77777777" w:rsidR="009F541F" w:rsidRDefault="009F541F" w:rsidP="009F541F">
      <w:pPr>
        <w:numPr>
          <w:ilvl w:val="0"/>
          <w:numId w:val="17"/>
        </w:numPr>
        <w:spacing w:after="375" w:line="360" w:lineRule="auto"/>
        <w:ind w:hanging="360"/>
        <w:jc w:val="both"/>
      </w:pPr>
      <w:r>
        <w:rPr>
          <w:rFonts w:ascii="Arial" w:hAnsi="Arial"/>
        </w:rPr>
        <w:t>Canales de comunicación con la ciudadanía: ya sea vía web, carta, oficina de atención o teléfono, el plan de comunicación deberá determinar los canales directos de resolución de dudas de la ciudadanía.</w:t>
      </w:r>
    </w:p>
    <w:p w14:paraId="772EA3D2" w14:textId="77777777" w:rsidR="009F541F" w:rsidRDefault="009F541F" w:rsidP="009F541F">
      <w:pPr>
        <w:spacing w:after="186" w:line="265" w:lineRule="auto"/>
        <w:ind w:left="-5" w:hanging="10"/>
      </w:pPr>
      <w:r>
        <w:rPr>
          <w:rFonts w:ascii="Arial" w:hAnsi="Arial"/>
          <w:u w:val="single" w:color="000000"/>
        </w:rPr>
        <w:t>ENTIDAD RESPONSABLE:</w:t>
      </w:r>
      <w:r>
        <w:rPr>
          <w:rFonts w:ascii="Arial" w:hAnsi="Arial"/>
        </w:rPr>
        <w:t xml:space="preserve"> Ayuntamiento de Zestoa</w:t>
      </w:r>
    </w:p>
    <w:p w14:paraId="534F9D35" w14:textId="77777777" w:rsidR="009F541F" w:rsidRDefault="009F541F" w:rsidP="009F541F">
      <w:pPr>
        <w:spacing w:after="287" w:line="250" w:lineRule="auto"/>
        <w:ind w:left="-5" w:hanging="10"/>
        <w:jc w:val="both"/>
      </w:pPr>
      <w:r>
        <w:rPr>
          <w:rFonts w:ascii="Arial" w:hAnsi="Arial"/>
          <w:b/>
          <w:sz w:val="28"/>
        </w:rPr>
        <w:t>4.2 ESTRATEGIA. Sistema de coordinación.</w:t>
      </w:r>
    </w:p>
    <w:p w14:paraId="304EE614" w14:textId="77777777" w:rsidR="009F541F" w:rsidRDefault="009F541F" w:rsidP="009F541F">
      <w:pPr>
        <w:spacing w:after="234" w:line="265" w:lineRule="auto"/>
        <w:ind w:left="-5" w:hanging="10"/>
        <w:jc w:val="both"/>
      </w:pPr>
      <w:r>
        <w:rPr>
          <w:rFonts w:ascii="Arial" w:hAnsi="Arial"/>
          <w:b/>
          <w:color w:val="C9211E"/>
          <w:sz w:val="26"/>
        </w:rPr>
        <w:t>ACCIÓN 4.2.1. Coordinación con el Gobierno Vasco.</w:t>
      </w:r>
    </w:p>
    <w:p w14:paraId="5DDD4F5A" w14:textId="77777777" w:rsidR="009F541F" w:rsidRDefault="009F541F" w:rsidP="009F541F">
      <w:pPr>
        <w:tabs>
          <w:tab w:val="right" w:pos="9639"/>
        </w:tabs>
        <w:spacing w:after="114"/>
        <w:ind w:left="-15"/>
      </w:pPr>
      <w:r>
        <w:rPr>
          <w:rFonts w:ascii="Arial" w:hAnsi="Arial"/>
          <w:u w:val="single" w:color="000000"/>
        </w:rPr>
        <w:t>CONTEXTO DE PARTIDA:</w:t>
      </w:r>
      <w:r>
        <w:rPr>
          <w:rFonts w:ascii="Arial" w:hAnsi="Arial"/>
        </w:rPr>
        <w:t xml:space="preserve"> </w:t>
      </w:r>
      <w:r>
        <w:rPr>
          <w:rFonts w:ascii="Arial" w:hAnsi="Arial"/>
        </w:rPr>
        <w:tab/>
        <w:t>El área de vivienda es un marco de corresponsabilidad institucional entre el Gobierno Vasco y los ayuntamientos y, tal y como se recoge en este plan, la ejecución de diversas acciones requiere de la coordinación y colaboración entre ambas instituciones, en este caso el Gobierno Vasco y el Ayuntamiento de Zestoa.</w:t>
      </w:r>
    </w:p>
    <w:p w14:paraId="0E3A117B" w14:textId="77777777" w:rsidR="009F541F" w:rsidRDefault="009F541F" w:rsidP="009F541F">
      <w:pPr>
        <w:spacing w:after="375" w:line="360" w:lineRule="auto"/>
        <w:ind w:left="-5" w:hanging="10"/>
        <w:jc w:val="both"/>
      </w:pPr>
    </w:p>
    <w:p w14:paraId="64BD50BB" w14:textId="77777777" w:rsidR="009F541F" w:rsidRDefault="009F541F" w:rsidP="009F541F">
      <w:pPr>
        <w:spacing w:after="375" w:line="360" w:lineRule="auto"/>
        <w:ind w:left="-5" w:hanging="10"/>
        <w:jc w:val="both"/>
      </w:pPr>
      <w:r>
        <w:rPr>
          <w:rFonts w:ascii="Arial" w:hAnsi="Arial"/>
          <w:u w:val="single" w:color="000000"/>
        </w:rPr>
        <w:t>DESCRIPCIÓN DE LA ACCIÓN:</w:t>
      </w:r>
      <w:r>
        <w:rPr>
          <w:rFonts w:ascii="Arial" w:hAnsi="Arial"/>
        </w:rPr>
        <w:t xml:space="preserve">  Definir la metodología de coordinación entre el ayuntamiento de Zestoa y el Gobierno Vasco. La concreción de la metodología y los instrumentos de coordinación y seguimiento se desarrollarían mediante convenio.</w:t>
      </w:r>
    </w:p>
    <w:p w14:paraId="4DCF06DA" w14:textId="77777777" w:rsidR="009F541F" w:rsidRDefault="009F541F" w:rsidP="009F541F">
      <w:pPr>
        <w:spacing w:after="375"/>
        <w:ind w:left="-5" w:hanging="10"/>
        <w:jc w:val="both"/>
      </w:pPr>
      <w:r>
        <w:rPr>
          <w:rFonts w:ascii="Arial" w:hAnsi="Arial"/>
          <w:u w:val="single" w:color="000000"/>
        </w:rPr>
        <w:t>ENTIDADES RESPONSABLES:</w:t>
      </w:r>
      <w:r>
        <w:rPr>
          <w:rFonts w:ascii="Arial" w:hAnsi="Arial"/>
        </w:rPr>
        <w:t xml:space="preserve">  Ayuntamiento de Zestoa y Gobierno Vasco.</w:t>
      </w:r>
    </w:p>
    <w:p w14:paraId="1A46A8C6" w14:textId="77777777" w:rsidR="009F541F" w:rsidRDefault="009F541F" w:rsidP="009F541F">
      <w:pPr>
        <w:sectPr w:rsidR="009F541F" w:rsidSect="009F541F">
          <w:headerReference w:type="even" r:id="rId23"/>
          <w:headerReference w:type="default" r:id="rId24"/>
          <w:footerReference w:type="even" r:id="rId25"/>
          <w:footerReference w:type="default" r:id="rId26"/>
          <w:headerReference w:type="first" r:id="rId27"/>
          <w:footerReference w:type="first" r:id="rId28"/>
          <w:pgSz w:w="11906" w:h="16838"/>
          <w:pgMar w:top="1631" w:right="1131" w:bottom="1645" w:left="1136" w:header="1076" w:footer="1133" w:gutter="0"/>
          <w:cols w:space="720"/>
        </w:sectPr>
      </w:pPr>
    </w:p>
    <w:p w14:paraId="23C563A9" w14:textId="77777777" w:rsidR="009F541F" w:rsidRDefault="009F541F" w:rsidP="009F541F">
      <w:pPr>
        <w:pStyle w:val="Ttulo1"/>
        <w:spacing w:line="265" w:lineRule="auto"/>
        <w:ind w:left="-294"/>
      </w:pPr>
      <w:bookmarkStart w:id="9" w:name="_Toc198023385"/>
      <w:r>
        <w:rPr>
          <w:rFonts w:ascii="Arial" w:hAnsi="Arial"/>
          <w:color w:val="E66F50"/>
        </w:rPr>
        <w:t>3. CRONOGRAMA</w:t>
      </w:r>
      <w:bookmarkEnd w:id="9"/>
    </w:p>
    <w:tbl>
      <w:tblPr>
        <w:tblStyle w:val="TableGrid"/>
        <w:tblW w:w="14568" w:type="dxa"/>
        <w:tblInd w:w="-304" w:type="dxa"/>
        <w:tblCellMar>
          <w:top w:w="63" w:type="dxa"/>
          <w:left w:w="58" w:type="dxa"/>
          <w:right w:w="115" w:type="dxa"/>
        </w:tblCellMar>
        <w:tblLook w:val="04A0" w:firstRow="1" w:lastRow="0" w:firstColumn="1" w:lastColumn="0" w:noHBand="0" w:noVBand="1"/>
      </w:tblPr>
      <w:tblGrid>
        <w:gridCol w:w="9234"/>
        <w:gridCol w:w="66"/>
        <w:gridCol w:w="815"/>
        <w:gridCol w:w="72"/>
        <w:gridCol w:w="797"/>
        <w:gridCol w:w="66"/>
        <w:gridCol w:w="856"/>
        <w:gridCol w:w="2662"/>
      </w:tblGrid>
      <w:tr w:rsidR="009F541F" w14:paraId="1D1919AE" w14:textId="77777777" w:rsidTr="001645BE">
        <w:trPr>
          <w:trHeight w:val="481"/>
        </w:trPr>
        <w:tc>
          <w:tcPr>
            <w:tcW w:w="9300" w:type="dxa"/>
            <w:gridSpan w:val="2"/>
            <w:tcBorders>
              <w:top w:val="single" w:sz="2" w:space="0" w:color="000000"/>
              <w:left w:val="single" w:sz="2" w:space="0" w:color="000000"/>
              <w:bottom w:val="single" w:sz="2" w:space="0" w:color="000000"/>
              <w:right w:val="single" w:sz="2" w:space="0" w:color="000000"/>
            </w:tcBorders>
            <w:shd w:val="clear" w:color="auto" w:fill="C9211E"/>
            <w:vAlign w:val="center"/>
          </w:tcPr>
          <w:p w14:paraId="668D18EB" w14:textId="77777777" w:rsidR="009F541F" w:rsidRDefault="009F541F" w:rsidP="001645BE">
            <w:r>
              <w:rPr>
                <w:rFonts w:ascii="Arial" w:hAnsi="Arial"/>
                <w:b/>
                <w:color w:val="FFFFFF"/>
                <w:sz w:val="16"/>
              </w:rPr>
              <w:t>1. EJE. FOMENTAR EL ALQUILER ASEQUIBLE</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C9211E"/>
            <w:vAlign w:val="center"/>
          </w:tcPr>
          <w:p w14:paraId="4E01D6FF" w14:textId="77777777" w:rsidR="009F541F" w:rsidRDefault="009F541F" w:rsidP="001645BE">
            <w:pPr>
              <w:ind w:left="79"/>
              <w:jc w:val="center"/>
            </w:pPr>
            <w:r>
              <w:rPr>
                <w:rFonts w:ascii="Arial" w:hAnsi="Arial"/>
                <w:b/>
                <w:color w:val="FFFFFF"/>
                <w:sz w:val="16"/>
              </w:rPr>
              <w:t>2025</w:t>
            </w:r>
          </w:p>
        </w:tc>
        <w:tc>
          <w:tcPr>
            <w:tcW w:w="863" w:type="dxa"/>
            <w:gridSpan w:val="2"/>
            <w:tcBorders>
              <w:top w:val="single" w:sz="2" w:space="0" w:color="000000"/>
              <w:left w:val="single" w:sz="2" w:space="0" w:color="000000"/>
              <w:bottom w:val="single" w:sz="2" w:space="0" w:color="000000"/>
              <w:right w:val="single" w:sz="2" w:space="0" w:color="000000"/>
            </w:tcBorders>
            <w:shd w:val="clear" w:color="auto" w:fill="C9211E"/>
            <w:vAlign w:val="center"/>
          </w:tcPr>
          <w:p w14:paraId="37A1D67E" w14:textId="77777777" w:rsidR="009F541F" w:rsidRDefault="009F541F" w:rsidP="001645BE">
            <w:pPr>
              <w:ind w:left="83"/>
              <w:jc w:val="center"/>
            </w:pPr>
            <w:r>
              <w:rPr>
                <w:rFonts w:ascii="Arial" w:hAnsi="Arial"/>
                <w:b/>
                <w:color w:val="FFFFFF"/>
                <w:sz w:val="16"/>
              </w:rPr>
              <w:t>2026</w:t>
            </w:r>
          </w:p>
        </w:tc>
        <w:tc>
          <w:tcPr>
            <w:tcW w:w="856"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56AE8227" w14:textId="77777777" w:rsidR="009F541F" w:rsidRDefault="009F541F" w:rsidP="001645BE">
            <w:pPr>
              <w:ind w:left="58"/>
              <w:jc w:val="center"/>
            </w:pPr>
            <w:r>
              <w:rPr>
                <w:rFonts w:ascii="Arial" w:hAnsi="Arial"/>
                <w:b/>
                <w:color w:val="FFFFFF"/>
                <w:sz w:val="16"/>
              </w:rPr>
              <w:t>2027</w:t>
            </w:r>
          </w:p>
        </w:tc>
        <w:tc>
          <w:tcPr>
            <w:tcW w:w="2662" w:type="dxa"/>
            <w:tcBorders>
              <w:top w:val="single" w:sz="2" w:space="0" w:color="000000"/>
              <w:left w:val="single" w:sz="2" w:space="0" w:color="000000"/>
              <w:bottom w:val="single" w:sz="2" w:space="0" w:color="000000"/>
              <w:right w:val="single" w:sz="2" w:space="0" w:color="000000"/>
            </w:tcBorders>
            <w:shd w:val="clear" w:color="auto" w:fill="C9211E"/>
          </w:tcPr>
          <w:p w14:paraId="7FC3FEF6" w14:textId="77777777" w:rsidR="009F541F" w:rsidRDefault="009F541F" w:rsidP="001645BE">
            <w:pPr>
              <w:jc w:val="center"/>
            </w:pPr>
            <w:r>
              <w:rPr>
                <w:rFonts w:ascii="Arial" w:hAnsi="Arial"/>
                <w:b/>
                <w:color w:val="FFFFFF"/>
                <w:sz w:val="16"/>
              </w:rPr>
              <w:t>Nivel de prioridad (Alto-Medio)</w:t>
            </w:r>
          </w:p>
        </w:tc>
      </w:tr>
      <w:tr w:rsidR="009F541F" w14:paraId="34E372E3" w14:textId="77777777" w:rsidTr="001645BE">
        <w:trPr>
          <w:trHeight w:val="301"/>
        </w:trPr>
        <w:tc>
          <w:tcPr>
            <w:tcW w:w="10187" w:type="dxa"/>
            <w:gridSpan w:val="4"/>
            <w:tcBorders>
              <w:top w:val="single" w:sz="2" w:space="0" w:color="000000"/>
              <w:left w:val="single" w:sz="2" w:space="0" w:color="000000"/>
              <w:bottom w:val="single" w:sz="2" w:space="0" w:color="000000"/>
              <w:right w:val="nil"/>
            </w:tcBorders>
          </w:tcPr>
          <w:p w14:paraId="66FAFADB" w14:textId="77777777" w:rsidR="009F541F" w:rsidRDefault="009F541F" w:rsidP="001645BE">
            <w:r>
              <w:rPr>
                <w:rFonts w:ascii="Arial" w:hAnsi="Arial"/>
                <w:b/>
                <w:sz w:val="16"/>
              </w:rPr>
              <w:t>1.1. ESTRATEGIA. Incrementar el parque de viviendas de uso residencial de protección pública, con especial atención al alquiler asequible.</w:t>
            </w:r>
          </w:p>
        </w:tc>
        <w:tc>
          <w:tcPr>
            <w:tcW w:w="863" w:type="dxa"/>
            <w:gridSpan w:val="2"/>
            <w:tcBorders>
              <w:top w:val="single" w:sz="2" w:space="0" w:color="000000"/>
              <w:left w:val="nil"/>
              <w:bottom w:val="single" w:sz="2" w:space="0" w:color="000000"/>
              <w:right w:val="nil"/>
            </w:tcBorders>
          </w:tcPr>
          <w:p w14:paraId="45768ACF" w14:textId="77777777" w:rsidR="009F541F" w:rsidRDefault="009F541F" w:rsidP="001645BE"/>
        </w:tc>
        <w:tc>
          <w:tcPr>
            <w:tcW w:w="856" w:type="dxa"/>
            <w:tcBorders>
              <w:top w:val="single" w:sz="2" w:space="0" w:color="000000"/>
              <w:left w:val="nil"/>
              <w:bottom w:val="single" w:sz="2" w:space="0" w:color="000000"/>
              <w:right w:val="nil"/>
            </w:tcBorders>
          </w:tcPr>
          <w:p w14:paraId="6FB80C93" w14:textId="77777777" w:rsidR="009F541F" w:rsidRDefault="009F541F" w:rsidP="001645BE"/>
        </w:tc>
        <w:tc>
          <w:tcPr>
            <w:tcW w:w="2662" w:type="dxa"/>
            <w:tcBorders>
              <w:top w:val="single" w:sz="2" w:space="0" w:color="000000"/>
              <w:left w:val="nil"/>
              <w:bottom w:val="single" w:sz="2" w:space="0" w:color="000000"/>
              <w:right w:val="single" w:sz="2" w:space="0" w:color="000000"/>
            </w:tcBorders>
          </w:tcPr>
          <w:p w14:paraId="02C75A64" w14:textId="77777777" w:rsidR="009F541F" w:rsidRDefault="009F541F" w:rsidP="001645BE"/>
        </w:tc>
      </w:tr>
      <w:tr w:rsidR="009F541F" w14:paraId="0D28C8C1" w14:textId="77777777" w:rsidTr="001645BE">
        <w:trPr>
          <w:trHeight w:val="414"/>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14BB5007" w14:textId="77777777" w:rsidR="009F541F" w:rsidRDefault="009F541F" w:rsidP="001645BE">
            <w:r>
              <w:rPr>
                <w:rFonts w:ascii="Arial" w:hAnsi="Arial"/>
                <w:sz w:val="16"/>
              </w:rPr>
              <w:t>ACCIÓN 1.1.1 – Fomentar el alquiler social (Kale Oker y antiguo Correos)</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70F9D3B0"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3B3AFB27"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60C1D684"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074F6D82" w14:textId="77777777" w:rsidR="009F541F" w:rsidRDefault="009F541F" w:rsidP="001645BE">
            <w:pPr>
              <w:ind w:left="60"/>
              <w:jc w:val="center"/>
            </w:pPr>
            <w:r>
              <w:rPr>
                <w:rFonts w:ascii="Arial" w:hAnsi="Arial"/>
                <w:sz w:val="20"/>
              </w:rPr>
              <w:t>Alto</w:t>
            </w:r>
          </w:p>
        </w:tc>
      </w:tr>
      <w:tr w:rsidR="009F541F" w14:paraId="06039B31" w14:textId="77777777" w:rsidTr="001645BE">
        <w:trPr>
          <w:trHeight w:val="416"/>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70AA5440" w14:textId="77777777" w:rsidR="009F541F" w:rsidRDefault="009F541F" w:rsidP="001645BE">
            <w:r>
              <w:rPr>
                <w:rFonts w:ascii="Arial" w:hAnsi="Arial"/>
                <w:sz w:val="16"/>
              </w:rPr>
              <w:t>ACCIÓN 1.1.2 – Promover viviendas protegidas, todo lo posible en alquiler (Arroabea).</w:t>
            </w:r>
          </w:p>
        </w:tc>
        <w:tc>
          <w:tcPr>
            <w:tcW w:w="887" w:type="dxa"/>
            <w:gridSpan w:val="2"/>
            <w:tcBorders>
              <w:top w:val="single" w:sz="2" w:space="0" w:color="000000"/>
              <w:left w:val="single" w:sz="2" w:space="0" w:color="000000"/>
              <w:bottom w:val="single" w:sz="2" w:space="0" w:color="000000"/>
              <w:right w:val="single" w:sz="2" w:space="0" w:color="000000"/>
            </w:tcBorders>
          </w:tcPr>
          <w:p w14:paraId="516F07AC"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tcPr>
          <w:p w14:paraId="2B862508"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54476BB0"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52FB193A" w14:textId="77777777" w:rsidR="009F541F" w:rsidRDefault="009F541F" w:rsidP="001645BE">
            <w:pPr>
              <w:ind w:left="60"/>
              <w:jc w:val="center"/>
            </w:pPr>
            <w:r>
              <w:rPr>
                <w:rFonts w:ascii="Arial" w:hAnsi="Arial"/>
                <w:sz w:val="20"/>
              </w:rPr>
              <w:t xml:space="preserve">Alto </w:t>
            </w:r>
          </w:p>
        </w:tc>
      </w:tr>
      <w:tr w:rsidR="009F541F" w14:paraId="18531629" w14:textId="77777777" w:rsidTr="001645BE">
        <w:trPr>
          <w:trHeight w:val="414"/>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53656777" w14:textId="77777777" w:rsidR="009F541F" w:rsidRDefault="009F541F" w:rsidP="001645BE">
            <w:r>
              <w:rPr>
                <w:rFonts w:ascii="Arial" w:hAnsi="Arial"/>
                <w:sz w:val="16"/>
              </w:rPr>
              <w:t xml:space="preserve">1.1. Estrategia: fomentar las viviendas dotacionales </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743F10B3"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3270A661"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26AB9AC0"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205C847B" w14:textId="77777777" w:rsidR="009F541F" w:rsidRDefault="009F541F" w:rsidP="001645BE">
            <w:pPr>
              <w:ind w:left="60"/>
              <w:jc w:val="center"/>
            </w:pPr>
            <w:r>
              <w:rPr>
                <w:rFonts w:ascii="Arial" w:hAnsi="Arial"/>
                <w:sz w:val="20"/>
              </w:rPr>
              <w:t>Medio</w:t>
            </w:r>
          </w:p>
        </w:tc>
      </w:tr>
      <w:tr w:rsidR="009F541F" w14:paraId="3D3E8240" w14:textId="77777777" w:rsidTr="001645BE">
        <w:trPr>
          <w:trHeight w:val="416"/>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4685F491" w14:textId="77777777" w:rsidR="009F541F" w:rsidRDefault="009F541F" w:rsidP="001645BE">
            <w:r>
              <w:rPr>
                <w:rFonts w:ascii="Arial" w:hAnsi="Arial"/>
                <w:sz w:val="16"/>
              </w:rPr>
              <w:t>ACCIÓN 1.1.4 – Medio rural y caseríos</w:t>
            </w:r>
          </w:p>
        </w:tc>
        <w:tc>
          <w:tcPr>
            <w:tcW w:w="887" w:type="dxa"/>
            <w:gridSpan w:val="2"/>
            <w:tcBorders>
              <w:top w:val="single" w:sz="2" w:space="0" w:color="000000"/>
              <w:left w:val="single" w:sz="2" w:space="0" w:color="000000"/>
              <w:bottom w:val="single" w:sz="2" w:space="0" w:color="000000"/>
              <w:right w:val="single" w:sz="2" w:space="0" w:color="000000"/>
            </w:tcBorders>
          </w:tcPr>
          <w:p w14:paraId="1C043811"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68E7B266"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1BB3E52C"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5F6B94F6" w14:textId="77777777" w:rsidR="009F541F" w:rsidRDefault="009F541F" w:rsidP="001645BE">
            <w:pPr>
              <w:ind w:left="60"/>
              <w:jc w:val="center"/>
            </w:pPr>
            <w:r>
              <w:rPr>
                <w:rFonts w:ascii="Arial" w:hAnsi="Arial"/>
                <w:sz w:val="20"/>
              </w:rPr>
              <w:t>Medio</w:t>
            </w:r>
          </w:p>
        </w:tc>
      </w:tr>
      <w:tr w:rsidR="009F541F" w14:paraId="5D56DE29" w14:textId="77777777" w:rsidTr="001645BE">
        <w:trPr>
          <w:trHeight w:val="414"/>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2217A5C5" w14:textId="77777777" w:rsidR="009F541F" w:rsidRDefault="009F541F" w:rsidP="001645BE">
            <w:r>
              <w:rPr>
                <w:rFonts w:ascii="Arial" w:hAnsi="Arial"/>
                <w:sz w:val="16"/>
              </w:rPr>
              <w:t xml:space="preserve">ACCIÓN 1.1.5 – Algunos criterios para nuevos desarrollos </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003F4C37"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175B7EB3"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tcPr>
          <w:p w14:paraId="2C184CA8"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3B4190A5" w14:textId="77777777" w:rsidR="009F541F" w:rsidRDefault="009F541F" w:rsidP="001645BE">
            <w:pPr>
              <w:ind w:left="60"/>
              <w:jc w:val="center"/>
            </w:pPr>
            <w:r>
              <w:rPr>
                <w:rFonts w:ascii="Arial" w:hAnsi="Arial"/>
                <w:sz w:val="20"/>
              </w:rPr>
              <w:t>Baja</w:t>
            </w:r>
          </w:p>
        </w:tc>
      </w:tr>
      <w:tr w:rsidR="009F541F" w14:paraId="0A357B45" w14:textId="77777777" w:rsidTr="001645BE">
        <w:trPr>
          <w:trHeight w:val="416"/>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6895AB06" w14:textId="77777777" w:rsidR="009F541F" w:rsidRDefault="009F541F" w:rsidP="001645BE">
            <w:r>
              <w:rPr>
                <w:rFonts w:ascii="Arial" w:hAnsi="Arial"/>
                <w:sz w:val="16"/>
              </w:rPr>
              <w:t>ACCIÓN 1.1.6. – Identificación de parcelas y suelos disponibles. Baja</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50CF071B"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tcPr>
          <w:p w14:paraId="31506F4D"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tcPr>
          <w:p w14:paraId="75CAA44D"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7A0E1B2D" w14:textId="77777777" w:rsidR="009F541F" w:rsidRDefault="009F541F" w:rsidP="001645BE">
            <w:pPr>
              <w:ind w:left="60"/>
              <w:jc w:val="center"/>
            </w:pPr>
          </w:p>
        </w:tc>
      </w:tr>
      <w:tr w:rsidR="009F541F" w14:paraId="0CF0883D" w14:textId="77777777" w:rsidTr="001645BE">
        <w:trPr>
          <w:trHeight w:val="414"/>
        </w:trPr>
        <w:tc>
          <w:tcPr>
            <w:tcW w:w="9300" w:type="dxa"/>
            <w:gridSpan w:val="2"/>
            <w:tcBorders>
              <w:top w:val="single" w:sz="2" w:space="0" w:color="000000"/>
              <w:left w:val="single" w:sz="2" w:space="0" w:color="000000"/>
              <w:bottom w:val="single" w:sz="2" w:space="0" w:color="000000"/>
              <w:right w:val="single" w:sz="2" w:space="0" w:color="000000"/>
            </w:tcBorders>
            <w:vAlign w:val="center"/>
          </w:tcPr>
          <w:p w14:paraId="40C6CB86" w14:textId="77777777" w:rsidR="009F541F" w:rsidRDefault="009F541F" w:rsidP="001645BE">
            <w:r>
              <w:rPr>
                <w:rFonts w:ascii="Arial" w:hAnsi="Arial"/>
                <w:sz w:val="16"/>
              </w:rPr>
              <w:t>1.1.7. Redacción y entrada en vigor de la normativa de viviendas tasadas</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257ABC22"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70901FC4"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tcPr>
          <w:p w14:paraId="641FA3FA"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2CE29EBD" w14:textId="77777777" w:rsidR="009F541F" w:rsidRDefault="009F541F" w:rsidP="001645BE">
            <w:pPr>
              <w:ind w:left="60"/>
              <w:jc w:val="center"/>
            </w:pPr>
            <w:r>
              <w:rPr>
                <w:rFonts w:ascii="Arial" w:hAnsi="Arial"/>
                <w:sz w:val="20"/>
              </w:rPr>
              <w:t>Alto</w:t>
            </w:r>
          </w:p>
        </w:tc>
      </w:tr>
      <w:tr w:rsidR="009F541F" w14:paraId="5B623F9E" w14:textId="77777777" w:rsidTr="001645BE">
        <w:trPr>
          <w:trHeight w:val="300"/>
        </w:trPr>
        <w:tc>
          <w:tcPr>
            <w:tcW w:w="10187" w:type="dxa"/>
            <w:gridSpan w:val="4"/>
            <w:tcBorders>
              <w:top w:val="single" w:sz="2" w:space="0" w:color="000000"/>
              <w:left w:val="single" w:sz="2" w:space="0" w:color="000000"/>
              <w:bottom w:val="single" w:sz="2" w:space="0" w:color="000000"/>
              <w:right w:val="nil"/>
            </w:tcBorders>
          </w:tcPr>
          <w:p w14:paraId="02A73BE5" w14:textId="77777777" w:rsidR="009F541F" w:rsidRDefault="009F541F" w:rsidP="001645BE">
            <w:r>
              <w:rPr>
                <w:rFonts w:ascii="Arial" w:hAnsi="Arial"/>
                <w:b/>
                <w:sz w:val="16"/>
              </w:rPr>
              <w:t>2ª ESTRATEGIA. Actuaciones y programas de intermediación y movilización de vivienda vacía en el mercado de alquiler</w:t>
            </w:r>
          </w:p>
        </w:tc>
        <w:tc>
          <w:tcPr>
            <w:tcW w:w="863" w:type="dxa"/>
            <w:gridSpan w:val="2"/>
            <w:tcBorders>
              <w:top w:val="single" w:sz="2" w:space="0" w:color="000000"/>
              <w:left w:val="nil"/>
              <w:bottom w:val="single" w:sz="2" w:space="0" w:color="000000"/>
              <w:right w:val="nil"/>
            </w:tcBorders>
          </w:tcPr>
          <w:p w14:paraId="64B1685A" w14:textId="77777777" w:rsidR="009F541F" w:rsidRDefault="009F541F" w:rsidP="001645BE"/>
        </w:tc>
        <w:tc>
          <w:tcPr>
            <w:tcW w:w="856" w:type="dxa"/>
            <w:tcBorders>
              <w:top w:val="single" w:sz="2" w:space="0" w:color="000000"/>
              <w:left w:val="nil"/>
              <w:bottom w:val="single" w:sz="2" w:space="0" w:color="000000"/>
              <w:right w:val="nil"/>
            </w:tcBorders>
          </w:tcPr>
          <w:p w14:paraId="04FD2C54" w14:textId="77777777" w:rsidR="009F541F" w:rsidRDefault="009F541F" w:rsidP="001645BE"/>
        </w:tc>
        <w:tc>
          <w:tcPr>
            <w:tcW w:w="2662" w:type="dxa"/>
            <w:tcBorders>
              <w:top w:val="single" w:sz="2" w:space="0" w:color="000000"/>
              <w:left w:val="nil"/>
              <w:bottom w:val="single" w:sz="2" w:space="0" w:color="000000"/>
              <w:right w:val="single" w:sz="2" w:space="0" w:color="000000"/>
            </w:tcBorders>
          </w:tcPr>
          <w:p w14:paraId="7F9A3EA5" w14:textId="77777777" w:rsidR="009F541F" w:rsidRDefault="009F541F" w:rsidP="001645BE"/>
        </w:tc>
      </w:tr>
      <w:tr w:rsidR="009F541F" w14:paraId="5E311AC7" w14:textId="77777777" w:rsidTr="001645BE">
        <w:trPr>
          <w:trHeight w:val="369"/>
        </w:trPr>
        <w:tc>
          <w:tcPr>
            <w:tcW w:w="9300" w:type="dxa"/>
            <w:gridSpan w:val="2"/>
            <w:tcBorders>
              <w:top w:val="single" w:sz="2" w:space="0" w:color="000000"/>
              <w:left w:val="single" w:sz="2" w:space="0" w:color="000000"/>
              <w:bottom w:val="single" w:sz="2" w:space="0" w:color="000000"/>
              <w:right w:val="single" w:sz="2" w:space="0" w:color="000000"/>
            </w:tcBorders>
          </w:tcPr>
          <w:p w14:paraId="632F7E04" w14:textId="77777777" w:rsidR="009F541F" w:rsidRDefault="009F541F" w:rsidP="001645BE">
            <w:r>
              <w:rPr>
                <w:rFonts w:ascii="Arial" w:hAnsi="Arial"/>
                <w:sz w:val="16"/>
              </w:rPr>
              <w:t>ACCIÓN 1.2.1. Promoción de los programas Bizigune y ASAP.</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300255B1"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649E32E7"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2413AC53"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21C6AEEA" w14:textId="77777777" w:rsidR="009F541F" w:rsidRDefault="009F541F" w:rsidP="001645BE">
            <w:pPr>
              <w:ind w:left="60"/>
              <w:jc w:val="center"/>
            </w:pPr>
            <w:r>
              <w:rPr>
                <w:rFonts w:ascii="Arial" w:hAnsi="Arial"/>
                <w:sz w:val="20"/>
              </w:rPr>
              <w:t xml:space="preserve">Alto </w:t>
            </w:r>
          </w:p>
        </w:tc>
      </w:tr>
      <w:tr w:rsidR="009F541F" w14:paraId="547BC0ED" w14:textId="77777777" w:rsidTr="001645BE">
        <w:trPr>
          <w:trHeight w:val="367"/>
        </w:trPr>
        <w:tc>
          <w:tcPr>
            <w:tcW w:w="9300" w:type="dxa"/>
            <w:gridSpan w:val="2"/>
            <w:tcBorders>
              <w:top w:val="single" w:sz="2" w:space="0" w:color="000000"/>
              <w:left w:val="single" w:sz="2" w:space="0" w:color="000000"/>
              <w:bottom w:val="single" w:sz="2" w:space="0" w:color="000000"/>
              <w:right w:val="single" w:sz="2" w:space="0" w:color="000000"/>
            </w:tcBorders>
          </w:tcPr>
          <w:p w14:paraId="1CDD20FB" w14:textId="77777777" w:rsidR="009F541F" w:rsidRDefault="009F541F" w:rsidP="001645BE">
            <w:r>
              <w:rPr>
                <w:rFonts w:ascii="Arial" w:hAnsi="Arial"/>
                <w:sz w:val="16"/>
              </w:rPr>
              <w:t>ACCIÓN 1.2.2. Medidas fiscales para promover la movilización de vivienda vacía hacia el alquiler asequible.</w:t>
            </w:r>
          </w:p>
        </w:tc>
        <w:tc>
          <w:tcPr>
            <w:tcW w:w="887" w:type="dxa"/>
            <w:gridSpan w:val="2"/>
            <w:tcBorders>
              <w:top w:val="single" w:sz="2" w:space="0" w:color="000000"/>
              <w:left w:val="single" w:sz="2" w:space="0" w:color="000000"/>
              <w:bottom w:val="single" w:sz="2" w:space="0" w:color="000000"/>
              <w:right w:val="single" w:sz="2" w:space="0" w:color="000000"/>
            </w:tcBorders>
            <w:shd w:val="clear" w:color="auto" w:fill="FFD8CE"/>
          </w:tcPr>
          <w:p w14:paraId="6A470B1B"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4282076A"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116349F9"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29198E7B" w14:textId="77777777" w:rsidR="009F541F" w:rsidRDefault="009F541F" w:rsidP="001645BE">
            <w:pPr>
              <w:ind w:left="60"/>
              <w:jc w:val="center"/>
            </w:pPr>
            <w:r>
              <w:rPr>
                <w:rFonts w:ascii="Arial" w:hAnsi="Arial"/>
                <w:sz w:val="20"/>
              </w:rPr>
              <w:t>Alto</w:t>
            </w:r>
          </w:p>
        </w:tc>
      </w:tr>
      <w:tr w:rsidR="009F541F" w14:paraId="0B522653" w14:textId="77777777" w:rsidTr="001645BE">
        <w:trPr>
          <w:trHeight w:val="482"/>
        </w:trPr>
        <w:tc>
          <w:tcPr>
            <w:tcW w:w="9300" w:type="dxa"/>
            <w:gridSpan w:val="2"/>
            <w:tcBorders>
              <w:top w:val="single" w:sz="2" w:space="0" w:color="000000"/>
              <w:left w:val="single" w:sz="2" w:space="0" w:color="000000"/>
              <w:bottom w:val="single" w:sz="2" w:space="0" w:color="000000"/>
              <w:right w:val="single" w:sz="2" w:space="0" w:color="000000"/>
            </w:tcBorders>
          </w:tcPr>
          <w:p w14:paraId="2AA51F70" w14:textId="77777777" w:rsidR="009F541F" w:rsidRDefault="009F541F" w:rsidP="001645BE">
            <w:r>
              <w:rPr>
                <w:rFonts w:ascii="Arial" w:hAnsi="Arial"/>
                <w:sz w:val="16"/>
              </w:rPr>
              <w:t>ACCIÓN 1.2.3. Puesta en marcha de las acciones recogidas en el Decreto 149/2021, de 8 de junio, de vivienda deshabitada y de medidas para el cumplimiento de la función social de la vivienda.</w:t>
            </w:r>
          </w:p>
        </w:tc>
        <w:tc>
          <w:tcPr>
            <w:tcW w:w="887" w:type="dxa"/>
            <w:gridSpan w:val="2"/>
            <w:tcBorders>
              <w:top w:val="single" w:sz="2" w:space="0" w:color="000000"/>
              <w:left w:val="single" w:sz="2" w:space="0" w:color="000000"/>
              <w:bottom w:val="single" w:sz="2" w:space="0" w:color="000000"/>
              <w:right w:val="single" w:sz="2" w:space="0" w:color="000000"/>
            </w:tcBorders>
          </w:tcPr>
          <w:p w14:paraId="1BB3CF46" w14:textId="77777777" w:rsidR="009F541F" w:rsidRDefault="009F541F" w:rsidP="001645BE"/>
        </w:tc>
        <w:tc>
          <w:tcPr>
            <w:tcW w:w="863" w:type="dxa"/>
            <w:gridSpan w:val="2"/>
            <w:tcBorders>
              <w:top w:val="single" w:sz="2" w:space="0" w:color="000000"/>
              <w:left w:val="single" w:sz="2" w:space="0" w:color="000000"/>
              <w:bottom w:val="single" w:sz="2" w:space="0" w:color="000000"/>
              <w:right w:val="single" w:sz="2" w:space="0" w:color="000000"/>
            </w:tcBorders>
            <w:shd w:val="clear" w:color="auto" w:fill="FFD8CE"/>
          </w:tcPr>
          <w:p w14:paraId="5C238420" w14:textId="77777777" w:rsidR="009F541F" w:rsidRDefault="009F541F" w:rsidP="001645BE"/>
        </w:tc>
        <w:tc>
          <w:tcPr>
            <w:tcW w:w="856" w:type="dxa"/>
            <w:tcBorders>
              <w:top w:val="single" w:sz="2" w:space="0" w:color="000000"/>
              <w:left w:val="single" w:sz="2" w:space="0" w:color="000000"/>
              <w:bottom w:val="single" w:sz="2" w:space="0" w:color="000000"/>
              <w:right w:val="single" w:sz="2" w:space="0" w:color="000000"/>
            </w:tcBorders>
            <w:shd w:val="clear" w:color="auto" w:fill="FFD8CE"/>
          </w:tcPr>
          <w:p w14:paraId="59909557"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vAlign w:val="center"/>
          </w:tcPr>
          <w:p w14:paraId="1ABE2305" w14:textId="77777777" w:rsidR="009F541F" w:rsidRDefault="009F541F" w:rsidP="001645BE">
            <w:pPr>
              <w:ind w:left="60"/>
              <w:jc w:val="center"/>
            </w:pPr>
            <w:r>
              <w:rPr>
                <w:rFonts w:ascii="Arial" w:hAnsi="Arial"/>
                <w:sz w:val="20"/>
              </w:rPr>
              <w:t xml:space="preserve">Alto </w:t>
            </w:r>
          </w:p>
        </w:tc>
      </w:tr>
      <w:tr w:rsidR="009F541F" w14:paraId="4AE71120" w14:textId="77777777" w:rsidTr="001645BE">
        <w:trPr>
          <w:trHeight w:val="481"/>
        </w:trPr>
        <w:tc>
          <w:tcPr>
            <w:tcW w:w="9234"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6994F7C5" w14:textId="77777777" w:rsidR="009F541F" w:rsidRDefault="009F541F" w:rsidP="001645BE">
            <w:r>
              <w:rPr>
                <w:rFonts w:ascii="Arial" w:hAnsi="Arial"/>
                <w:b/>
                <w:color w:val="FFFFFF"/>
                <w:sz w:val="16"/>
              </w:rPr>
              <w:t>2º EJE. ACTUACIONES SOBRE EL PARQUE DE EDIFICIOS DE VIVIENDAS Y LA REHABILITACIÓN URBANA</w:t>
            </w:r>
          </w:p>
        </w:tc>
        <w:tc>
          <w:tcPr>
            <w:tcW w:w="881" w:type="dxa"/>
            <w:gridSpan w:val="2"/>
            <w:tcBorders>
              <w:top w:val="single" w:sz="2" w:space="0" w:color="000000"/>
              <w:left w:val="single" w:sz="2" w:space="0" w:color="000000"/>
              <w:bottom w:val="single" w:sz="2" w:space="0" w:color="000000"/>
              <w:right w:val="single" w:sz="2" w:space="0" w:color="000000"/>
            </w:tcBorders>
            <w:shd w:val="clear" w:color="auto" w:fill="C9211E"/>
            <w:vAlign w:val="center"/>
          </w:tcPr>
          <w:p w14:paraId="12F2348F" w14:textId="77777777" w:rsidR="009F541F" w:rsidRDefault="009F541F" w:rsidP="001645BE">
            <w:pPr>
              <w:ind w:left="39"/>
              <w:jc w:val="center"/>
            </w:pPr>
            <w:r>
              <w:rPr>
                <w:rFonts w:ascii="Arial" w:hAnsi="Arial"/>
                <w:b/>
                <w:color w:val="FFFFFF"/>
                <w:sz w:val="16"/>
              </w:rPr>
              <w:t>2025</w:t>
            </w:r>
          </w:p>
        </w:tc>
        <w:tc>
          <w:tcPr>
            <w:tcW w:w="869" w:type="dxa"/>
            <w:gridSpan w:val="2"/>
            <w:tcBorders>
              <w:top w:val="single" w:sz="2" w:space="0" w:color="000000"/>
              <w:left w:val="single" w:sz="2" w:space="0" w:color="000000"/>
              <w:bottom w:val="single" w:sz="2" w:space="0" w:color="000000"/>
              <w:right w:val="single" w:sz="2" w:space="0" w:color="000000"/>
            </w:tcBorders>
            <w:shd w:val="clear" w:color="auto" w:fill="C9211E"/>
            <w:vAlign w:val="center"/>
          </w:tcPr>
          <w:p w14:paraId="70D70C51" w14:textId="77777777" w:rsidR="009F541F" w:rsidRDefault="009F541F" w:rsidP="001645BE">
            <w:pPr>
              <w:ind w:left="35"/>
              <w:jc w:val="center"/>
            </w:pPr>
            <w:r>
              <w:rPr>
                <w:rFonts w:ascii="Arial" w:hAnsi="Arial"/>
                <w:b/>
                <w:color w:val="FFFFFF"/>
                <w:sz w:val="16"/>
              </w:rPr>
              <w:t>2026</w:t>
            </w:r>
          </w:p>
        </w:tc>
        <w:tc>
          <w:tcPr>
            <w:tcW w:w="922" w:type="dxa"/>
            <w:gridSpan w:val="2"/>
            <w:tcBorders>
              <w:top w:val="single" w:sz="2" w:space="0" w:color="000000"/>
              <w:left w:val="single" w:sz="2" w:space="0" w:color="000000"/>
              <w:bottom w:val="single" w:sz="2" w:space="0" w:color="000000"/>
              <w:right w:val="single" w:sz="2" w:space="0" w:color="000000"/>
            </w:tcBorders>
            <w:shd w:val="clear" w:color="auto" w:fill="C9211E"/>
            <w:vAlign w:val="center"/>
          </w:tcPr>
          <w:p w14:paraId="05006C60" w14:textId="77777777" w:rsidR="009F541F" w:rsidRDefault="009F541F" w:rsidP="001645BE">
            <w:pPr>
              <w:ind w:left="62"/>
              <w:jc w:val="center"/>
            </w:pPr>
            <w:r>
              <w:rPr>
                <w:rFonts w:ascii="Arial" w:hAnsi="Arial"/>
                <w:b/>
                <w:color w:val="FFFFFF"/>
                <w:sz w:val="16"/>
              </w:rPr>
              <w:t>2027</w:t>
            </w:r>
          </w:p>
        </w:tc>
        <w:tc>
          <w:tcPr>
            <w:tcW w:w="2662" w:type="dxa"/>
            <w:tcBorders>
              <w:top w:val="single" w:sz="2" w:space="0" w:color="000000"/>
              <w:left w:val="single" w:sz="2" w:space="0" w:color="000000"/>
              <w:bottom w:val="single" w:sz="2" w:space="0" w:color="000000"/>
              <w:right w:val="single" w:sz="2" w:space="0" w:color="000000"/>
            </w:tcBorders>
            <w:shd w:val="clear" w:color="auto" w:fill="C9211E"/>
          </w:tcPr>
          <w:p w14:paraId="7C4A568B" w14:textId="77777777" w:rsidR="009F541F" w:rsidRDefault="009F541F" w:rsidP="001645BE">
            <w:pPr>
              <w:jc w:val="center"/>
            </w:pPr>
            <w:r>
              <w:rPr>
                <w:rFonts w:ascii="Arial" w:hAnsi="Arial"/>
                <w:b/>
                <w:color w:val="FFFFFF"/>
                <w:sz w:val="16"/>
              </w:rPr>
              <w:t>Grado de relación con la declaración (alto-medio)</w:t>
            </w:r>
          </w:p>
        </w:tc>
      </w:tr>
      <w:tr w:rsidR="009F541F" w14:paraId="0EAD0E4C" w14:textId="77777777" w:rsidTr="001645BE">
        <w:trPr>
          <w:trHeight w:val="300"/>
        </w:trPr>
        <w:tc>
          <w:tcPr>
            <w:tcW w:w="9234" w:type="dxa"/>
            <w:tcBorders>
              <w:top w:val="single" w:sz="2" w:space="0" w:color="000000"/>
              <w:left w:val="single" w:sz="2" w:space="0" w:color="000000"/>
              <w:bottom w:val="single" w:sz="2" w:space="0" w:color="000000"/>
              <w:right w:val="nil"/>
            </w:tcBorders>
          </w:tcPr>
          <w:p w14:paraId="1D88D191" w14:textId="77777777" w:rsidR="009F541F" w:rsidRDefault="009F541F" w:rsidP="001645BE">
            <w:r>
              <w:rPr>
                <w:rFonts w:ascii="Arial" w:hAnsi="Arial"/>
                <w:b/>
                <w:sz w:val="16"/>
              </w:rPr>
              <w:t>ESTRATEGIA 2.1. Conseguir vivienda protegida en la zona construida del municipio</w:t>
            </w:r>
          </w:p>
        </w:tc>
        <w:tc>
          <w:tcPr>
            <w:tcW w:w="881" w:type="dxa"/>
            <w:gridSpan w:val="2"/>
            <w:tcBorders>
              <w:top w:val="single" w:sz="2" w:space="0" w:color="000000"/>
              <w:left w:val="nil"/>
              <w:bottom w:val="single" w:sz="2" w:space="0" w:color="000000"/>
              <w:right w:val="nil"/>
            </w:tcBorders>
          </w:tcPr>
          <w:p w14:paraId="24DC7275" w14:textId="77777777" w:rsidR="009F541F" w:rsidRDefault="009F541F" w:rsidP="001645BE"/>
        </w:tc>
        <w:tc>
          <w:tcPr>
            <w:tcW w:w="869" w:type="dxa"/>
            <w:gridSpan w:val="2"/>
            <w:tcBorders>
              <w:top w:val="single" w:sz="2" w:space="0" w:color="000000"/>
              <w:left w:val="nil"/>
              <w:bottom w:val="single" w:sz="2" w:space="0" w:color="000000"/>
              <w:right w:val="nil"/>
            </w:tcBorders>
          </w:tcPr>
          <w:p w14:paraId="381FB09F" w14:textId="77777777" w:rsidR="009F541F" w:rsidRDefault="009F541F" w:rsidP="001645BE"/>
        </w:tc>
        <w:tc>
          <w:tcPr>
            <w:tcW w:w="922" w:type="dxa"/>
            <w:gridSpan w:val="2"/>
            <w:tcBorders>
              <w:top w:val="single" w:sz="2" w:space="0" w:color="000000"/>
              <w:left w:val="nil"/>
              <w:bottom w:val="single" w:sz="2" w:space="0" w:color="000000"/>
              <w:right w:val="nil"/>
            </w:tcBorders>
          </w:tcPr>
          <w:p w14:paraId="32C78D7E" w14:textId="77777777" w:rsidR="009F541F" w:rsidRDefault="009F541F" w:rsidP="001645BE"/>
        </w:tc>
        <w:tc>
          <w:tcPr>
            <w:tcW w:w="2662" w:type="dxa"/>
            <w:tcBorders>
              <w:top w:val="single" w:sz="2" w:space="0" w:color="000000"/>
              <w:left w:val="nil"/>
              <w:bottom w:val="single" w:sz="2" w:space="0" w:color="000000"/>
              <w:right w:val="single" w:sz="2" w:space="0" w:color="000000"/>
            </w:tcBorders>
          </w:tcPr>
          <w:p w14:paraId="2C8BEA6C" w14:textId="77777777" w:rsidR="009F541F" w:rsidRDefault="009F541F" w:rsidP="001645BE"/>
        </w:tc>
      </w:tr>
      <w:tr w:rsidR="009F541F" w14:paraId="4513D3BE"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200A4404" w14:textId="77777777" w:rsidR="009F541F" w:rsidRDefault="009F541F" w:rsidP="001645BE">
            <w:r>
              <w:rPr>
                <w:rFonts w:ascii="Arial" w:hAnsi="Arial"/>
                <w:sz w:val="16"/>
              </w:rPr>
              <w:t>ACCIÓN 2.1.1. Ordenanza para el cambio de uso de locales vacíos y su seguimiento.</w:t>
            </w:r>
          </w:p>
        </w:tc>
        <w:tc>
          <w:tcPr>
            <w:tcW w:w="881" w:type="dxa"/>
            <w:gridSpan w:val="2"/>
            <w:tcBorders>
              <w:top w:val="single" w:sz="2" w:space="0" w:color="000000"/>
              <w:left w:val="single" w:sz="2" w:space="0" w:color="000000"/>
              <w:bottom w:val="single" w:sz="2" w:space="0" w:color="000000"/>
              <w:right w:val="single" w:sz="2" w:space="0" w:color="000000"/>
            </w:tcBorders>
            <w:shd w:val="clear" w:color="auto" w:fill="FFD8CE"/>
          </w:tcPr>
          <w:p w14:paraId="44E00F17" w14:textId="77777777" w:rsidR="009F541F" w:rsidRDefault="009F541F" w:rsidP="001645BE"/>
        </w:tc>
        <w:tc>
          <w:tcPr>
            <w:tcW w:w="869" w:type="dxa"/>
            <w:gridSpan w:val="2"/>
            <w:tcBorders>
              <w:top w:val="single" w:sz="2" w:space="0" w:color="000000"/>
              <w:left w:val="single" w:sz="2" w:space="0" w:color="000000"/>
              <w:bottom w:val="single" w:sz="2" w:space="0" w:color="000000"/>
              <w:right w:val="single" w:sz="2" w:space="0" w:color="000000"/>
            </w:tcBorders>
            <w:shd w:val="clear" w:color="auto" w:fill="FFD8CE"/>
          </w:tcPr>
          <w:p w14:paraId="62AFC3B0" w14:textId="77777777" w:rsidR="009F541F" w:rsidRDefault="009F541F" w:rsidP="001645BE"/>
        </w:tc>
        <w:tc>
          <w:tcPr>
            <w:tcW w:w="922" w:type="dxa"/>
            <w:gridSpan w:val="2"/>
            <w:tcBorders>
              <w:top w:val="single" w:sz="2" w:space="0" w:color="000000"/>
              <w:left w:val="single" w:sz="2" w:space="0" w:color="000000"/>
              <w:bottom w:val="single" w:sz="2" w:space="0" w:color="000000"/>
              <w:right w:val="single" w:sz="2" w:space="0" w:color="000000"/>
            </w:tcBorders>
            <w:shd w:val="clear" w:color="auto" w:fill="FFD8CE"/>
          </w:tcPr>
          <w:p w14:paraId="0BF32B14"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0AC86693" w14:textId="77777777" w:rsidR="009F541F" w:rsidRDefault="009F541F" w:rsidP="001645BE">
            <w:pPr>
              <w:ind w:left="60"/>
              <w:jc w:val="center"/>
            </w:pPr>
            <w:r>
              <w:rPr>
                <w:rFonts w:ascii="Arial" w:hAnsi="Arial"/>
                <w:sz w:val="20"/>
              </w:rPr>
              <w:t>Medio</w:t>
            </w:r>
          </w:p>
        </w:tc>
      </w:tr>
      <w:tr w:rsidR="009F541F" w14:paraId="5D9E4C9D"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24AEFEA9" w14:textId="77777777" w:rsidR="009F541F" w:rsidRDefault="009F541F" w:rsidP="001645BE">
            <w:r>
              <w:rPr>
                <w:rFonts w:ascii="Arial" w:hAnsi="Arial"/>
                <w:sz w:val="16"/>
              </w:rPr>
              <w:t>ACCIÓN 2.1.1. Ordenanza reguladora de la división de grandes viviendas</w:t>
            </w:r>
          </w:p>
        </w:tc>
        <w:tc>
          <w:tcPr>
            <w:tcW w:w="881" w:type="dxa"/>
            <w:gridSpan w:val="2"/>
            <w:tcBorders>
              <w:top w:val="single" w:sz="2" w:space="0" w:color="000000"/>
              <w:left w:val="single" w:sz="2" w:space="0" w:color="000000"/>
              <w:bottom w:val="single" w:sz="2" w:space="0" w:color="000000"/>
              <w:right w:val="single" w:sz="2" w:space="0" w:color="000000"/>
            </w:tcBorders>
          </w:tcPr>
          <w:p w14:paraId="686C5CAE" w14:textId="77777777" w:rsidR="009F541F" w:rsidRDefault="009F541F" w:rsidP="001645BE"/>
        </w:tc>
        <w:tc>
          <w:tcPr>
            <w:tcW w:w="869" w:type="dxa"/>
            <w:gridSpan w:val="2"/>
            <w:tcBorders>
              <w:top w:val="single" w:sz="2" w:space="0" w:color="000000"/>
              <w:left w:val="single" w:sz="2" w:space="0" w:color="000000"/>
              <w:bottom w:val="single" w:sz="2" w:space="0" w:color="000000"/>
              <w:right w:val="single" w:sz="2" w:space="0" w:color="000000"/>
            </w:tcBorders>
            <w:shd w:val="clear" w:color="auto" w:fill="FFD8CE"/>
          </w:tcPr>
          <w:p w14:paraId="202C5D66" w14:textId="77777777" w:rsidR="009F541F" w:rsidRDefault="009F541F" w:rsidP="001645BE"/>
        </w:tc>
        <w:tc>
          <w:tcPr>
            <w:tcW w:w="922" w:type="dxa"/>
            <w:gridSpan w:val="2"/>
            <w:tcBorders>
              <w:top w:val="single" w:sz="2" w:space="0" w:color="000000"/>
              <w:left w:val="single" w:sz="2" w:space="0" w:color="000000"/>
              <w:bottom w:val="single" w:sz="2" w:space="0" w:color="000000"/>
              <w:right w:val="single" w:sz="2" w:space="0" w:color="000000"/>
            </w:tcBorders>
            <w:shd w:val="clear" w:color="auto" w:fill="FFD8CE"/>
          </w:tcPr>
          <w:p w14:paraId="6107D1E4"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040C0EBE" w14:textId="77777777" w:rsidR="009F541F" w:rsidRDefault="009F541F" w:rsidP="001645BE">
            <w:pPr>
              <w:ind w:left="60"/>
              <w:jc w:val="center"/>
            </w:pPr>
            <w:r>
              <w:rPr>
                <w:rFonts w:ascii="Arial" w:hAnsi="Arial"/>
                <w:sz w:val="20"/>
              </w:rPr>
              <w:t>Baja</w:t>
            </w:r>
          </w:p>
        </w:tc>
      </w:tr>
      <w:tr w:rsidR="009F541F" w14:paraId="4907457D" w14:textId="77777777" w:rsidTr="001645BE">
        <w:trPr>
          <w:trHeight w:val="414"/>
        </w:trPr>
        <w:tc>
          <w:tcPr>
            <w:tcW w:w="9234" w:type="dxa"/>
            <w:tcBorders>
              <w:top w:val="single" w:sz="2" w:space="0" w:color="000000"/>
              <w:left w:val="single" w:sz="2" w:space="0" w:color="000000"/>
              <w:bottom w:val="single" w:sz="2" w:space="0" w:color="000000"/>
              <w:right w:val="single" w:sz="2" w:space="0" w:color="000000"/>
            </w:tcBorders>
            <w:vAlign w:val="center"/>
          </w:tcPr>
          <w:p w14:paraId="1CEE08B7" w14:textId="77777777" w:rsidR="009F541F" w:rsidRDefault="009F541F" w:rsidP="001645BE">
            <w:r>
              <w:rPr>
                <w:rFonts w:ascii="Arial" w:hAnsi="Arial"/>
                <w:b/>
                <w:sz w:val="16"/>
              </w:rPr>
              <w:t>ESTRATEGIA 2.2 Subvenciones, medidas fiscales, etc. en materia de rehabilitación urbana.</w:t>
            </w:r>
          </w:p>
        </w:tc>
        <w:tc>
          <w:tcPr>
            <w:tcW w:w="881" w:type="dxa"/>
            <w:gridSpan w:val="2"/>
            <w:tcBorders>
              <w:top w:val="single" w:sz="2" w:space="0" w:color="000000"/>
              <w:left w:val="single" w:sz="2" w:space="0" w:color="000000"/>
              <w:bottom w:val="single" w:sz="2" w:space="0" w:color="000000"/>
              <w:right w:val="single" w:sz="2" w:space="0" w:color="000000"/>
            </w:tcBorders>
          </w:tcPr>
          <w:p w14:paraId="72D11A9C" w14:textId="77777777" w:rsidR="009F541F" w:rsidRDefault="009F541F" w:rsidP="001645BE"/>
        </w:tc>
        <w:tc>
          <w:tcPr>
            <w:tcW w:w="869" w:type="dxa"/>
            <w:gridSpan w:val="2"/>
            <w:tcBorders>
              <w:top w:val="single" w:sz="2" w:space="0" w:color="000000"/>
              <w:left w:val="single" w:sz="2" w:space="0" w:color="000000"/>
              <w:bottom w:val="single" w:sz="2" w:space="0" w:color="000000"/>
              <w:right w:val="single" w:sz="2" w:space="0" w:color="000000"/>
            </w:tcBorders>
          </w:tcPr>
          <w:p w14:paraId="5AF6D379" w14:textId="77777777" w:rsidR="009F541F" w:rsidRDefault="009F541F" w:rsidP="001645BE"/>
        </w:tc>
        <w:tc>
          <w:tcPr>
            <w:tcW w:w="922" w:type="dxa"/>
            <w:gridSpan w:val="2"/>
            <w:tcBorders>
              <w:top w:val="single" w:sz="2" w:space="0" w:color="000000"/>
              <w:left w:val="single" w:sz="2" w:space="0" w:color="000000"/>
              <w:bottom w:val="single" w:sz="2" w:space="0" w:color="000000"/>
              <w:right w:val="single" w:sz="2" w:space="0" w:color="000000"/>
            </w:tcBorders>
          </w:tcPr>
          <w:p w14:paraId="4A1BAC16"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22A5ADBF" w14:textId="77777777" w:rsidR="009F541F" w:rsidRDefault="009F541F" w:rsidP="001645BE"/>
        </w:tc>
      </w:tr>
      <w:tr w:rsidR="009F541F" w14:paraId="74B395A6" w14:textId="77777777" w:rsidTr="001645BE">
        <w:trPr>
          <w:trHeight w:val="415"/>
        </w:trPr>
        <w:tc>
          <w:tcPr>
            <w:tcW w:w="9234" w:type="dxa"/>
            <w:tcBorders>
              <w:top w:val="single" w:sz="2" w:space="0" w:color="000000"/>
              <w:left w:val="single" w:sz="2" w:space="0" w:color="000000"/>
              <w:bottom w:val="single" w:sz="2" w:space="0" w:color="000000"/>
              <w:right w:val="single" w:sz="2" w:space="0" w:color="000000"/>
            </w:tcBorders>
            <w:vAlign w:val="center"/>
          </w:tcPr>
          <w:p w14:paraId="3701A2BA" w14:textId="77777777" w:rsidR="009F541F" w:rsidRDefault="009F541F" w:rsidP="001645BE">
            <w:r>
              <w:rPr>
                <w:rFonts w:ascii="Arial" w:hAnsi="Arial"/>
                <w:sz w:val="16"/>
              </w:rPr>
              <w:t>Acción 2.2.1 Reflexión sobre subvenciones, medidas fiscales, etc. en materia de rehabilitación urbana</w:t>
            </w:r>
          </w:p>
        </w:tc>
        <w:tc>
          <w:tcPr>
            <w:tcW w:w="881" w:type="dxa"/>
            <w:gridSpan w:val="2"/>
            <w:tcBorders>
              <w:top w:val="single" w:sz="2" w:space="0" w:color="000000"/>
              <w:left w:val="single" w:sz="2" w:space="0" w:color="000000"/>
              <w:bottom w:val="single" w:sz="2" w:space="0" w:color="000000"/>
              <w:right w:val="single" w:sz="2" w:space="0" w:color="000000"/>
            </w:tcBorders>
            <w:shd w:val="clear" w:color="auto" w:fill="FFD8CE"/>
          </w:tcPr>
          <w:p w14:paraId="54CC9D00" w14:textId="77777777" w:rsidR="009F541F" w:rsidRDefault="009F541F" w:rsidP="001645BE"/>
        </w:tc>
        <w:tc>
          <w:tcPr>
            <w:tcW w:w="869" w:type="dxa"/>
            <w:gridSpan w:val="2"/>
            <w:tcBorders>
              <w:top w:val="single" w:sz="2" w:space="0" w:color="000000"/>
              <w:left w:val="single" w:sz="2" w:space="0" w:color="000000"/>
              <w:bottom w:val="single" w:sz="2" w:space="0" w:color="000000"/>
              <w:right w:val="single" w:sz="2" w:space="0" w:color="000000"/>
            </w:tcBorders>
            <w:shd w:val="clear" w:color="auto" w:fill="FFD8CE"/>
          </w:tcPr>
          <w:p w14:paraId="48AFE443" w14:textId="77777777" w:rsidR="009F541F" w:rsidRDefault="009F541F" w:rsidP="001645BE"/>
        </w:tc>
        <w:tc>
          <w:tcPr>
            <w:tcW w:w="922" w:type="dxa"/>
            <w:gridSpan w:val="2"/>
            <w:tcBorders>
              <w:top w:val="single" w:sz="2" w:space="0" w:color="000000"/>
              <w:left w:val="single" w:sz="2" w:space="0" w:color="000000"/>
              <w:bottom w:val="single" w:sz="2" w:space="0" w:color="000000"/>
              <w:right w:val="single" w:sz="2" w:space="0" w:color="000000"/>
            </w:tcBorders>
            <w:shd w:val="clear" w:color="auto" w:fill="FFD8CE"/>
          </w:tcPr>
          <w:p w14:paraId="1ED4C153"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63093E9A" w14:textId="77777777" w:rsidR="009F541F" w:rsidRDefault="009F541F" w:rsidP="001645BE">
            <w:pPr>
              <w:ind w:left="60"/>
              <w:jc w:val="center"/>
            </w:pPr>
            <w:r>
              <w:rPr>
                <w:rFonts w:ascii="Arial" w:hAnsi="Arial"/>
                <w:sz w:val="20"/>
              </w:rPr>
              <w:t>Medio</w:t>
            </w:r>
          </w:p>
        </w:tc>
      </w:tr>
    </w:tbl>
    <w:p w14:paraId="2880FD3D" w14:textId="77777777" w:rsidR="009F541F" w:rsidRDefault="009F541F" w:rsidP="009F541F">
      <w:pPr>
        <w:spacing w:after="0"/>
        <w:ind w:left="-1440" w:right="15398"/>
      </w:pPr>
    </w:p>
    <w:tbl>
      <w:tblPr>
        <w:tblStyle w:val="TableGrid"/>
        <w:tblW w:w="14568" w:type="dxa"/>
        <w:tblInd w:w="-304" w:type="dxa"/>
        <w:tblCellMar>
          <w:top w:w="63" w:type="dxa"/>
          <w:left w:w="58" w:type="dxa"/>
          <w:right w:w="115" w:type="dxa"/>
        </w:tblCellMar>
        <w:tblLook w:val="04A0" w:firstRow="1" w:lastRow="0" w:firstColumn="1" w:lastColumn="0" w:noHBand="0" w:noVBand="1"/>
      </w:tblPr>
      <w:tblGrid>
        <w:gridCol w:w="9234"/>
        <w:gridCol w:w="881"/>
        <w:gridCol w:w="23"/>
        <w:gridCol w:w="846"/>
        <w:gridCol w:w="52"/>
        <w:gridCol w:w="870"/>
        <w:gridCol w:w="2662"/>
      </w:tblGrid>
      <w:tr w:rsidR="009F541F" w14:paraId="703C953E" w14:textId="77777777" w:rsidTr="001645BE">
        <w:trPr>
          <w:trHeight w:val="415"/>
        </w:trPr>
        <w:tc>
          <w:tcPr>
            <w:tcW w:w="9234" w:type="dxa"/>
            <w:tcBorders>
              <w:top w:val="single" w:sz="2" w:space="0" w:color="000000"/>
              <w:left w:val="single" w:sz="2" w:space="0" w:color="000000"/>
              <w:bottom w:val="single" w:sz="2" w:space="0" w:color="000000"/>
              <w:right w:val="single" w:sz="2" w:space="0" w:color="000000"/>
            </w:tcBorders>
            <w:vAlign w:val="center"/>
          </w:tcPr>
          <w:p w14:paraId="777FD16B" w14:textId="77777777" w:rsidR="009F541F" w:rsidRDefault="009F541F" w:rsidP="001645BE">
            <w:r>
              <w:rPr>
                <w:rFonts w:ascii="Arial" w:hAnsi="Arial"/>
                <w:b/>
                <w:sz w:val="16"/>
              </w:rPr>
              <w:t>ESTRATEGIA 2.3 Control de alojamientos turísticos</w:t>
            </w:r>
          </w:p>
        </w:tc>
        <w:tc>
          <w:tcPr>
            <w:tcW w:w="904" w:type="dxa"/>
            <w:gridSpan w:val="2"/>
            <w:tcBorders>
              <w:top w:val="single" w:sz="2" w:space="0" w:color="000000"/>
              <w:left w:val="single" w:sz="2" w:space="0" w:color="000000"/>
              <w:bottom w:val="single" w:sz="2" w:space="0" w:color="000000"/>
              <w:right w:val="single" w:sz="2" w:space="0" w:color="000000"/>
            </w:tcBorders>
          </w:tcPr>
          <w:p w14:paraId="7D91E1EA" w14:textId="77777777" w:rsidR="009F541F" w:rsidRDefault="009F541F" w:rsidP="001645BE"/>
        </w:tc>
        <w:tc>
          <w:tcPr>
            <w:tcW w:w="846" w:type="dxa"/>
            <w:tcBorders>
              <w:top w:val="single" w:sz="2" w:space="0" w:color="000000"/>
              <w:left w:val="single" w:sz="2" w:space="0" w:color="000000"/>
              <w:bottom w:val="single" w:sz="2" w:space="0" w:color="000000"/>
              <w:right w:val="single" w:sz="2" w:space="0" w:color="000000"/>
            </w:tcBorders>
          </w:tcPr>
          <w:p w14:paraId="6094CB83" w14:textId="77777777" w:rsidR="009F541F" w:rsidRDefault="009F541F" w:rsidP="001645BE"/>
        </w:tc>
        <w:tc>
          <w:tcPr>
            <w:tcW w:w="922" w:type="dxa"/>
            <w:gridSpan w:val="2"/>
            <w:tcBorders>
              <w:top w:val="single" w:sz="2" w:space="0" w:color="000000"/>
              <w:left w:val="single" w:sz="2" w:space="0" w:color="000000"/>
              <w:bottom w:val="single" w:sz="2" w:space="0" w:color="000000"/>
              <w:right w:val="single" w:sz="2" w:space="0" w:color="000000"/>
            </w:tcBorders>
          </w:tcPr>
          <w:p w14:paraId="47504405"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6D4E4F14" w14:textId="77777777" w:rsidR="009F541F" w:rsidRDefault="009F541F" w:rsidP="001645BE"/>
        </w:tc>
      </w:tr>
      <w:tr w:rsidR="009F541F" w14:paraId="18845401" w14:textId="77777777" w:rsidTr="001645BE">
        <w:trPr>
          <w:trHeight w:val="414"/>
        </w:trPr>
        <w:tc>
          <w:tcPr>
            <w:tcW w:w="9234" w:type="dxa"/>
            <w:tcBorders>
              <w:top w:val="single" w:sz="2" w:space="0" w:color="000000"/>
              <w:left w:val="single" w:sz="2" w:space="0" w:color="000000"/>
              <w:bottom w:val="single" w:sz="2" w:space="0" w:color="000000"/>
              <w:right w:val="single" w:sz="2" w:space="0" w:color="000000"/>
            </w:tcBorders>
            <w:vAlign w:val="center"/>
          </w:tcPr>
          <w:p w14:paraId="5F3669C7" w14:textId="77777777" w:rsidR="009F541F" w:rsidRDefault="009F541F" w:rsidP="001645BE">
            <w:r>
              <w:rPr>
                <w:rFonts w:ascii="Arial" w:hAnsi="Arial"/>
                <w:sz w:val="16"/>
              </w:rPr>
              <w:t>2.3.1. Acción para controlar el crecimiento de los alojamientos turísticos y proteger la función residencial de la vivienda</w:t>
            </w:r>
          </w:p>
        </w:tc>
        <w:tc>
          <w:tcPr>
            <w:tcW w:w="904" w:type="dxa"/>
            <w:gridSpan w:val="2"/>
            <w:tcBorders>
              <w:top w:val="single" w:sz="2" w:space="0" w:color="000000"/>
              <w:left w:val="single" w:sz="2" w:space="0" w:color="000000"/>
              <w:bottom w:val="single" w:sz="2" w:space="0" w:color="000000"/>
              <w:right w:val="single" w:sz="2" w:space="0" w:color="000000"/>
            </w:tcBorders>
            <w:shd w:val="clear" w:color="auto" w:fill="FFD8CE"/>
          </w:tcPr>
          <w:p w14:paraId="4584D3AE" w14:textId="77777777" w:rsidR="009F541F" w:rsidRDefault="009F541F" w:rsidP="001645BE"/>
        </w:tc>
        <w:tc>
          <w:tcPr>
            <w:tcW w:w="846" w:type="dxa"/>
            <w:tcBorders>
              <w:top w:val="single" w:sz="2" w:space="0" w:color="000000"/>
              <w:left w:val="single" w:sz="2" w:space="0" w:color="000000"/>
              <w:bottom w:val="single" w:sz="2" w:space="0" w:color="000000"/>
              <w:right w:val="single" w:sz="2" w:space="0" w:color="000000"/>
            </w:tcBorders>
            <w:shd w:val="clear" w:color="auto" w:fill="FFD8CE"/>
          </w:tcPr>
          <w:p w14:paraId="13B992A1" w14:textId="77777777" w:rsidR="009F541F" w:rsidRDefault="009F541F" w:rsidP="001645BE"/>
        </w:tc>
        <w:tc>
          <w:tcPr>
            <w:tcW w:w="922" w:type="dxa"/>
            <w:gridSpan w:val="2"/>
            <w:tcBorders>
              <w:top w:val="single" w:sz="2" w:space="0" w:color="000000"/>
              <w:left w:val="single" w:sz="2" w:space="0" w:color="000000"/>
              <w:bottom w:val="single" w:sz="2" w:space="0" w:color="000000"/>
              <w:right w:val="single" w:sz="2" w:space="0" w:color="000000"/>
            </w:tcBorders>
            <w:shd w:val="clear" w:color="auto" w:fill="FFD8CE"/>
          </w:tcPr>
          <w:p w14:paraId="513AEADA"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5C508828" w14:textId="77777777" w:rsidR="009F541F" w:rsidRDefault="009F541F" w:rsidP="001645BE">
            <w:pPr>
              <w:ind w:left="60"/>
              <w:jc w:val="center"/>
            </w:pPr>
            <w:r>
              <w:rPr>
                <w:rFonts w:ascii="Arial" w:hAnsi="Arial"/>
                <w:sz w:val="20"/>
              </w:rPr>
              <w:t>Medio</w:t>
            </w:r>
          </w:p>
        </w:tc>
      </w:tr>
      <w:tr w:rsidR="009F541F" w14:paraId="7E2EFDC5" w14:textId="77777777" w:rsidTr="001645BE">
        <w:trPr>
          <w:trHeight w:val="481"/>
        </w:trPr>
        <w:tc>
          <w:tcPr>
            <w:tcW w:w="9234"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27976C4D" w14:textId="77777777" w:rsidR="009F541F" w:rsidRDefault="009F541F" w:rsidP="001645BE">
            <w:r>
              <w:rPr>
                <w:rFonts w:ascii="Arial" w:hAnsi="Arial"/>
                <w:b/>
                <w:color w:val="FFFFFF"/>
                <w:sz w:val="16"/>
              </w:rPr>
              <w:t>3º EJE. SISTEMA DE PRESTACIONES Y SUBVENCIONES PARA ALQUILER</w:t>
            </w:r>
          </w:p>
        </w:tc>
        <w:tc>
          <w:tcPr>
            <w:tcW w:w="881"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772299D0" w14:textId="77777777" w:rsidR="009F541F" w:rsidRDefault="009F541F" w:rsidP="001645BE">
            <w:pPr>
              <w:ind w:left="39"/>
              <w:jc w:val="center"/>
            </w:pPr>
            <w:r>
              <w:rPr>
                <w:rFonts w:ascii="Arial" w:hAnsi="Arial"/>
                <w:b/>
                <w:color w:val="FFFFFF"/>
                <w:sz w:val="16"/>
              </w:rPr>
              <w:t>2025</w:t>
            </w:r>
          </w:p>
        </w:tc>
        <w:tc>
          <w:tcPr>
            <w:tcW w:w="921" w:type="dxa"/>
            <w:gridSpan w:val="3"/>
            <w:tcBorders>
              <w:top w:val="single" w:sz="2" w:space="0" w:color="000000"/>
              <w:left w:val="single" w:sz="2" w:space="0" w:color="000000"/>
              <w:bottom w:val="single" w:sz="2" w:space="0" w:color="000000"/>
              <w:right w:val="single" w:sz="2" w:space="0" w:color="000000"/>
            </w:tcBorders>
            <w:shd w:val="clear" w:color="auto" w:fill="C9211E"/>
            <w:vAlign w:val="center"/>
          </w:tcPr>
          <w:p w14:paraId="0573CA96" w14:textId="77777777" w:rsidR="009F541F" w:rsidRDefault="009F541F" w:rsidP="001645BE">
            <w:pPr>
              <w:ind w:left="35"/>
              <w:jc w:val="center"/>
            </w:pPr>
            <w:r>
              <w:rPr>
                <w:rFonts w:ascii="Arial" w:hAnsi="Arial"/>
                <w:b/>
                <w:color w:val="FFFFFF"/>
                <w:sz w:val="16"/>
              </w:rPr>
              <w:t>2026</w:t>
            </w:r>
          </w:p>
        </w:tc>
        <w:tc>
          <w:tcPr>
            <w:tcW w:w="870"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462F8015" w14:textId="77777777" w:rsidR="009F541F" w:rsidRDefault="009F541F" w:rsidP="001645BE">
            <w:pPr>
              <w:ind w:left="58"/>
              <w:jc w:val="center"/>
            </w:pPr>
            <w:r>
              <w:rPr>
                <w:rFonts w:ascii="Arial" w:hAnsi="Arial"/>
                <w:b/>
                <w:color w:val="FFFFFF"/>
                <w:sz w:val="16"/>
              </w:rPr>
              <w:t>2027</w:t>
            </w:r>
          </w:p>
        </w:tc>
        <w:tc>
          <w:tcPr>
            <w:tcW w:w="2662" w:type="dxa"/>
            <w:tcBorders>
              <w:top w:val="single" w:sz="2" w:space="0" w:color="000000"/>
              <w:left w:val="single" w:sz="2" w:space="0" w:color="000000"/>
              <w:bottom w:val="single" w:sz="2" w:space="0" w:color="000000"/>
              <w:right w:val="single" w:sz="2" w:space="0" w:color="000000"/>
            </w:tcBorders>
            <w:shd w:val="clear" w:color="auto" w:fill="C9211E"/>
          </w:tcPr>
          <w:p w14:paraId="27518A2F" w14:textId="77777777" w:rsidR="009F541F" w:rsidRDefault="009F541F" w:rsidP="001645BE">
            <w:pPr>
              <w:jc w:val="center"/>
            </w:pPr>
            <w:r>
              <w:rPr>
                <w:rFonts w:ascii="Arial" w:hAnsi="Arial"/>
                <w:b/>
                <w:color w:val="FFFFFF"/>
                <w:sz w:val="16"/>
              </w:rPr>
              <w:t>Grado de relación con la declaración (alto-medio)</w:t>
            </w:r>
          </w:p>
        </w:tc>
      </w:tr>
      <w:tr w:rsidR="009F541F" w14:paraId="1F039275" w14:textId="77777777" w:rsidTr="001645BE">
        <w:trPr>
          <w:trHeight w:val="300"/>
        </w:trPr>
        <w:tc>
          <w:tcPr>
            <w:tcW w:w="9234" w:type="dxa"/>
            <w:tcBorders>
              <w:top w:val="single" w:sz="2" w:space="0" w:color="000000"/>
              <w:left w:val="single" w:sz="2" w:space="0" w:color="000000"/>
              <w:bottom w:val="single" w:sz="2" w:space="0" w:color="000000"/>
              <w:right w:val="nil"/>
            </w:tcBorders>
          </w:tcPr>
          <w:p w14:paraId="6BCA6074" w14:textId="77777777" w:rsidR="009F541F" w:rsidRDefault="009F541F" w:rsidP="001645BE">
            <w:r>
              <w:rPr>
                <w:rFonts w:ascii="Arial" w:hAnsi="Arial"/>
                <w:b/>
                <w:sz w:val="16"/>
              </w:rPr>
              <w:t>3.1 Subvenciones para la emancipación de los jóvenes</w:t>
            </w:r>
          </w:p>
        </w:tc>
        <w:tc>
          <w:tcPr>
            <w:tcW w:w="881" w:type="dxa"/>
            <w:tcBorders>
              <w:top w:val="single" w:sz="2" w:space="0" w:color="000000"/>
              <w:left w:val="nil"/>
              <w:bottom w:val="single" w:sz="2" w:space="0" w:color="000000"/>
              <w:right w:val="nil"/>
            </w:tcBorders>
          </w:tcPr>
          <w:p w14:paraId="4DE345F0" w14:textId="77777777" w:rsidR="009F541F" w:rsidRDefault="009F541F" w:rsidP="001645BE"/>
        </w:tc>
        <w:tc>
          <w:tcPr>
            <w:tcW w:w="921" w:type="dxa"/>
            <w:gridSpan w:val="3"/>
            <w:tcBorders>
              <w:top w:val="single" w:sz="2" w:space="0" w:color="000000"/>
              <w:left w:val="nil"/>
              <w:bottom w:val="single" w:sz="2" w:space="0" w:color="000000"/>
              <w:right w:val="nil"/>
            </w:tcBorders>
          </w:tcPr>
          <w:p w14:paraId="22FEF583" w14:textId="77777777" w:rsidR="009F541F" w:rsidRDefault="009F541F" w:rsidP="001645BE"/>
        </w:tc>
        <w:tc>
          <w:tcPr>
            <w:tcW w:w="870" w:type="dxa"/>
            <w:tcBorders>
              <w:top w:val="single" w:sz="2" w:space="0" w:color="000000"/>
              <w:left w:val="nil"/>
              <w:bottom w:val="single" w:sz="2" w:space="0" w:color="000000"/>
              <w:right w:val="nil"/>
            </w:tcBorders>
          </w:tcPr>
          <w:p w14:paraId="2A1D5697" w14:textId="77777777" w:rsidR="009F541F" w:rsidRDefault="009F541F" w:rsidP="001645BE"/>
        </w:tc>
        <w:tc>
          <w:tcPr>
            <w:tcW w:w="2662" w:type="dxa"/>
            <w:tcBorders>
              <w:top w:val="single" w:sz="2" w:space="0" w:color="000000"/>
              <w:left w:val="nil"/>
              <w:bottom w:val="single" w:sz="2" w:space="0" w:color="000000"/>
              <w:right w:val="single" w:sz="2" w:space="0" w:color="000000"/>
            </w:tcBorders>
          </w:tcPr>
          <w:p w14:paraId="428FBAF1" w14:textId="77777777" w:rsidR="009F541F" w:rsidRDefault="009F541F" w:rsidP="001645BE"/>
        </w:tc>
      </w:tr>
      <w:tr w:rsidR="009F541F" w14:paraId="508F85B3"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67166359" w14:textId="77777777" w:rsidR="009F541F" w:rsidRDefault="009F541F" w:rsidP="001645BE">
            <w:r>
              <w:rPr>
                <w:rFonts w:ascii="Arial" w:hAnsi="Arial"/>
                <w:sz w:val="16"/>
              </w:rPr>
              <w:t>Acción 3.1.1. Promoción de los programas Gaztelagun y Emantzipa</w:t>
            </w:r>
          </w:p>
        </w:tc>
        <w:tc>
          <w:tcPr>
            <w:tcW w:w="881" w:type="dxa"/>
            <w:tcBorders>
              <w:top w:val="single" w:sz="2" w:space="0" w:color="000000"/>
              <w:left w:val="single" w:sz="2" w:space="0" w:color="000000"/>
              <w:bottom w:val="single" w:sz="2" w:space="0" w:color="000000"/>
              <w:right w:val="single" w:sz="2" w:space="0" w:color="000000"/>
            </w:tcBorders>
            <w:shd w:val="clear" w:color="auto" w:fill="FFD8CE"/>
          </w:tcPr>
          <w:p w14:paraId="60EE4D28"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3112F317"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3F0480FD"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2AD53644" w14:textId="77777777" w:rsidR="009F541F" w:rsidRDefault="009F541F" w:rsidP="001645BE">
            <w:pPr>
              <w:ind w:left="62"/>
              <w:jc w:val="center"/>
            </w:pPr>
            <w:r>
              <w:rPr>
                <w:rFonts w:ascii="Arial" w:hAnsi="Arial"/>
                <w:sz w:val="20"/>
              </w:rPr>
              <w:t xml:space="preserve">Alto </w:t>
            </w:r>
          </w:p>
        </w:tc>
      </w:tr>
      <w:tr w:rsidR="009F541F" w14:paraId="06516600" w14:textId="77777777" w:rsidTr="001645BE">
        <w:trPr>
          <w:trHeight w:val="415"/>
        </w:trPr>
        <w:tc>
          <w:tcPr>
            <w:tcW w:w="9234" w:type="dxa"/>
            <w:tcBorders>
              <w:top w:val="single" w:sz="2" w:space="0" w:color="000000"/>
              <w:left w:val="single" w:sz="2" w:space="0" w:color="000000"/>
              <w:bottom w:val="single" w:sz="2" w:space="0" w:color="000000"/>
              <w:right w:val="single" w:sz="2" w:space="0" w:color="000000"/>
            </w:tcBorders>
            <w:vAlign w:val="center"/>
          </w:tcPr>
          <w:p w14:paraId="2D090A4E" w14:textId="77777777" w:rsidR="009F541F" w:rsidRDefault="009F541F" w:rsidP="001645BE">
            <w:r>
              <w:rPr>
                <w:rFonts w:ascii="Arial" w:hAnsi="Arial"/>
                <w:b/>
                <w:sz w:val="16"/>
              </w:rPr>
              <w:t>ESTRATEGIA 3.2 Subvenciones para alquiler destinadas a colectivos en dificultades</w:t>
            </w:r>
          </w:p>
        </w:tc>
        <w:tc>
          <w:tcPr>
            <w:tcW w:w="881" w:type="dxa"/>
            <w:tcBorders>
              <w:top w:val="single" w:sz="2" w:space="0" w:color="000000"/>
              <w:left w:val="single" w:sz="2" w:space="0" w:color="000000"/>
              <w:bottom w:val="single" w:sz="2" w:space="0" w:color="000000"/>
              <w:right w:val="single" w:sz="2" w:space="0" w:color="000000"/>
            </w:tcBorders>
          </w:tcPr>
          <w:p w14:paraId="4EDD29DA"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tcPr>
          <w:p w14:paraId="159B7008"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tcPr>
          <w:p w14:paraId="0725A299"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49DB8A31" w14:textId="77777777" w:rsidR="009F541F" w:rsidRDefault="009F541F" w:rsidP="001645BE"/>
        </w:tc>
      </w:tr>
      <w:tr w:rsidR="009F541F" w14:paraId="41A8638D"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7BC2CC90" w14:textId="77777777" w:rsidR="009F541F" w:rsidRDefault="009F541F" w:rsidP="001645BE">
            <w:r>
              <w:rPr>
                <w:rFonts w:ascii="Arial" w:hAnsi="Arial"/>
                <w:sz w:val="16"/>
              </w:rPr>
              <w:t>3.2.1 Impulso del derecho subjetivo al acceso a vivienda y de la prestación de vivienda</w:t>
            </w:r>
          </w:p>
        </w:tc>
        <w:tc>
          <w:tcPr>
            <w:tcW w:w="881" w:type="dxa"/>
            <w:tcBorders>
              <w:top w:val="single" w:sz="2" w:space="0" w:color="000000"/>
              <w:left w:val="single" w:sz="2" w:space="0" w:color="000000"/>
              <w:bottom w:val="single" w:sz="2" w:space="0" w:color="000000"/>
              <w:right w:val="single" w:sz="2" w:space="0" w:color="000000"/>
            </w:tcBorders>
            <w:shd w:val="clear" w:color="auto" w:fill="FFD8CE"/>
          </w:tcPr>
          <w:p w14:paraId="7B2EA3D9"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4750BFA1"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7FD470CE"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13F88F91" w14:textId="77777777" w:rsidR="009F541F" w:rsidRDefault="009F541F" w:rsidP="001645BE">
            <w:pPr>
              <w:ind w:left="62"/>
              <w:jc w:val="center"/>
            </w:pPr>
            <w:r>
              <w:rPr>
                <w:rFonts w:ascii="Arial" w:hAnsi="Arial"/>
                <w:sz w:val="20"/>
              </w:rPr>
              <w:t xml:space="preserve">Alto </w:t>
            </w:r>
          </w:p>
        </w:tc>
      </w:tr>
      <w:tr w:rsidR="009F541F" w14:paraId="6DD1A383" w14:textId="77777777" w:rsidTr="001645BE">
        <w:trPr>
          <w:trHeight w:val="484"/>
        </w:trPr>
        <w:tc>
          <w:tcPr>
            <w:tcW w:w="9234" w:type="dxa"/>
            <w:tcBorders>
              <w:top w:val="single" w:sz="2" w:space="0" w:color="000000"/>
              <w:left w:val="single" w:sz="2" w:space="0" w:color="000000"/>
              <w:bottom w:val="single" w:sz="2" w:space="0" w:color="000000"/>
              <w:right w:val="single" w:sz="2" w:space="0" w:color="000000"/>
            </w:tcBorders>
          </w:tcPr>
          <w:p w14:paraId="73FFE2B3" w14:textId="77777777" w:rsidR="009F541F" w:rsidRDefault="009F541F" w:rsidP="001645BE">
            <w:r>
              <w:rPr>
                <w:rFonts w:ascii="Arial" w:hAnsi="Arial"/>
                <w:b/>
                <w:sz w:val="16"/>
              </w:rPr>
              <w:t xml:space="preserve">ESTRATEGIA 3.3. Subvenciones y alternativas habitacionales destinadas al pago del alquiler para personas en situación económica vulnerable y en riesgo de exclusión </w:t>
            </w:r>
          </w:p>
          <w:p w14:paraId="3AA8DBFF" w14:textId="77777777" w:rsidR="009F541F" w:rsidRDefault="009F541F" w:rsidP="001645BE"/>
        </w:tc>
        <w:tc>
          <w:tcPr>
            <w:tcW w:w="881" w:type="dxa"/>
            <w:tcBorders>
              <w:top w:val="single" w:sz="2" w:space="0" w:color="000000"/>
              <w:left w:val="single" w:sz="2" w:space="0" w:color="000000"/>
              <w:bottom w:val="single" w:sz="2" w:space="0" w:color="000000"/>
              <w:right w:val="single" w:sz="2" w:space="0" w:color="000000"/>
            </w:tcBorders>
          </w:tcPr>
          <w:p w14:paraId="7B0C9FEC"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tcPr>
          <w:p w14:paraId="2E601C38"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tcPr>
          <w:p w14:paraId="38275102"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575B8A33" w14:textId="77777777" w:rsidR="009F541F" w:rsidRDefault="009F541F" w:rsidP="001645BE"/>
        </w:tc>
      </w:tr>
      <w:tr w:rsidR="009F541F" w14:paraId="21D597EA"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1E7AC264" w14:textId="77777777" w:rsidR="009F541F" w:rsidRDefault="009F541F" w:rsidP="001645BE">
            <w:r>
              <w:rPr>
                <w:rFonts w:ascii="Arial" w:hAnsi="Arial"/>
                <w:sz w:val="16"/>
              </w:rPr>
              <w:t>Acción 3.3.1 Ayudas de Emergencia Social</w:t>
            </w:r>
          </w:p>
        </w:tc>
        <w:tc>
          <w:tcPr>
            <w:tcW w:w="881" w:type="dxa"/>
            <w:tcBorders>
              <w:top w:val="single" w:sz="2" w:space="0" w:color="000000"/>
              <w:left w:val="single" w:sz="2" w:space="0" w:color="000000"/>
              <w:bottom w:val="single" w:sz="2" w:space="0" w:color="000000"/>
              <w:right w:val="single" w:sz="2" w:space="0" w:color="000000"/>
            </w:tcBorders>
            <w:shd w:val="clear" w:color="auto" w:fill="FFD8CE"/>
          </w:tcPr>
          <w:p w14:paraId="66803C16"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608DF5F3"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412162F0"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38DD6E19" w14:textId="77777777" w:rsidR="009F541F" w:rsidRDefault="009F541F" w:rsidP="001645BE">
            <w:pPr>
              <w:ind w:left="62"/>
              <w:jc w:val="center"/>
            </w:pPr>
            <w:r>
              <w:rPr>
                <w:rFonts w:ascii="Arial" w:hAnsi="Arial"/>
                <w:sz w:val="20"/>
              </w:rPr>
              <w:t>Medio</w:t>
            </w:r>
          </w:p>
        </w:tc>
      </w:tr>
      <w:tr w:rsidR="009F541F" w14:paraId="024BB700"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1A31B5E4" w14:textId="77777777" w:rsidR="009F541F" w:rsidRDefault="009F541F" w:rsidP="001645BE">
            <w:r>
              <w:rPr>
                <w:rFonts w:ascii="Arial" w:hAnsi="Arial"/>
                <w:sz w:val="16"/>
              </w:rPr>
              <w:t>Acción 3.2.2 Alternativas habitacionales para personas en riesgo de exclusión y en situación de vulnerabilidad</w:t>
            </w:r>
          </w:p>
        </w:tc>
        <w:tc>
          <w:tcPr>
            <w:tcW w:w="881" w:type="dxa"/>
            <w:tcBorders>
              <w:top w:val="single" w:sz="2" w:space="0" w:color="000000"/>
              <w:left w:val="single" w:sz="2" w:space="0" w:color="000000"/>
              <w:bottom w:val="single" w:sz="2" w:space="0" w:color="000000"/>
              <w:right w:val="single" w:sz="2" w:space="0" w:color="000000"/>
            </w:tcBorders>
          </w:tcPr>
          <w:p w14:paraId="001BA30E"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3F4AFE8B"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3B13E5A7"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055E00A7" w14:textId="77777777" w:rsidR="009F541F" w:rsidRDefault="009F541F" w:rsidP="001645BE">
            <w:pPr>
              <w:ind w:left="62"/>
              <w:jc w:val="center"/>
            </w:pPr>
            <w:r>
              <w:rPr>
                <w:rFonts w:ascii="Arial" w:hAnsi="Arial"/>
                <w:sz w:val="20"/>
              </w:rPr>
              <w:t>Medio</w:t>
            </w:r>
          </w:p>
        </w:tc>
      </w:tr>
      <w:tr w:rsidR="009F541F" w14:paraId="60CBED9F" w14:textId="77777777" w:rsidTr="001645BE">
        <w:trPr>
          <w:trHeight w:val="483"/>
        </w:trPr>
        <w:tc>
          <w:tcPr>
            <w:tcW w:w="9234" w:type="dxa"/>
            <w:tcBorders>
              <w:top w:val="single" w:sz="2" w:space="0" w:color="000000"/>
              <w:left w:val="single" w:sz="2" w:space="0" w:color="000000"/>
              <w:bottom w:val="single" w:sz="2" w:space="0" w:color="000000"/>
              <w:right w:val="single" w:sz="2" w:space="0" w:color="000000"/>
            </w:tcBorders>
          </w:tcPr>
          <w:p w14:paraId="2DB8348C" w14:textId="77777777" w:rsidR="009F541F" w:rsidRDefault="009F541F" w:rsidP="001645BE">
            <w:r>
              <w:rPr>
                <w:rFonts w:ascii="Arial" w:hAnsi="Arial"/>
                <w:b/>
                <w:sz w:val="16"/>
              </w:rPr>
              <w:t>ESTRATEGIA 3.4 Aplicación y seguimiento de los efectos de la Ley 12/2023, de 24 de mayo, en el ámbito de la declaración de Zona Tensionada</w:t>
            </w:r>
          </w:p>
        </w:tc>
        <w:tc>
          <w:tcPr>
            <w:tcW w:w="881" w:type="dxa"/>
            <w:tcBorders>
              <w:top w:val="single" w:sz="2" w:space="0" w:color="000000"/>
              <w:left w:val="single" w:sz="2" w:space="0" w:color="000000"/>
              <w:bottom w:val="single" w:sz="2" w:space="0" w:color="000000"/>
              <w:right w:val="single" w:sz="2" w:space="0" w:color="000000"/>
            </w:tcBorders>
          </w:tcPr>
          <w:p w14:paraId="0EC4A586"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tcPr>
          <w:p w14:paraId="290EB4D0"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tcPr>
          <w:p w14:paraId="343B4CB4"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61FA779F" w14:textId="77777777" w:rsidR="009F541F" w:rsidRDefault="009F541F" w:rsidP="001645BE"/>
        </w:tc>
      </w:tr>
      <w:tr w:rsidR="009F541F" w14:paraId="132A29A3" w14:textId="77777777" w:rsidTr="001645BE">
        <w:trPr>
          <w:trHeight w:val="484"/>
        </w:trPr>
        <w:tc>
          <w:tcPr>
            <w:tcW w:w="9234" w:type="dxa"/>
            <w:tcBorders>
              <w:top w:val="single" w:sz="2" w:space="0" w:color="000000"/>
              <w:left w:val="single" w:sz="2" w:space="0" w:color="000000"/>
              <w:bottom w:val="single" w:sz="2" w:space="0" w:color="000000"/>
              <w:right w:val="single" w:sz="2" w:space="0" w:color="000000"/>
            </w:tcBorders>
          </w:tcPr>
          <w:p w14:paraId="0A67C4F5" w14:textId="77777777" w:rsidR="009F541F" w:rsidRDefault="009F541F" w:rsidP="001645BE">
            <w:r>
              <w:rPr>
                <w:rFonts w:ascii="Arial" w:hAnsi="Arial"/>
                <w:sz w:val="16"/>
              </w:rPr>
              <w:t xml:space="preserve">Acción </w:t>
            </w:r>
            <w:r>
              <w:rPr>
                <w:rFonts w:ascii="Arial" w:hAnsi="Arial"/>
                <w:b/>
                <w:bCs/>
                <w:sz w:val="16"/>
              </w:rPr>
              <w:t>3.4.1.</w:t>
            </w:r>
            <w:r>
              <w:rPr>
                <w:rFonts w:ascii="Arial" w:hAnsi="Arial"/>
                <w:sz w:val="16"/>
              </w:rPr>
              <w:t xml:space="preserve"> En el ámbito de la declaración de zona tensionada. Aplicación y seguimiento de los efectos de la Ley 12/2023, de 24 de mayo.</w:t>
            </w:r>
          </w:p>
        </w:tc>
        <w:tc>
          <w:tcPr>
            <w:tcW w:w="881" w:type="dxa"/>
            <w:tcBorders>
              <w:top w:val="single" w:sz="2" w:space="0" w:color="000000"/>
              <w:left w:val="single" w:sz="2" w:space="0" w:color="000000"/>
              <w:bottom w:val="single" w:sz="2" w:space="0" w:color="000000"/>
              <w:right w:val="single" w:sz="2" w:space="0" w:color="000000"/>
            </w:tcBorders>
            <w:shd w:val="clear" w:color="auto" w:fill="FFD8CE"/>
          </w:tcPr>
          <w:p w14:paraId="49FB9676"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53C81431"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3DBB8826"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vAlign w:val="center"/>
          </w:tcPr>
          <w:p w14:paraId="5E62E64E" w14:textId="77777777" w:rsidR="009F541F" w:rsidRDefault="009F541F" w:rsidP="001645BE">
            <w:pPr>
              <w:ind w:left="62"/>
              <w:jc w:val="center"/>
            </w:pPr>
            <w:r>
              <w:rPr>
                <w:rFonts w:ascii="Arial" w:hAnsi="Arial"/>
                <w:sz w:val="20"/>
              </w:rPr>
              <w:t xml:space="preserve">Alto </w:t>
            </w:r>
          </w:p>
        </w:tc>
      </w:tr>
      <w:tr w:rsidR="009F541F" w14:paraId="2FD7D8A1" w14:textId="77777777" w:rsidTr="001645BE">
        <w:trPr>
          <w:trHeight w:val="483"/>
        </w:trPr>
        <w:tc>
          <w:tcPr>
            <w:tcW w:w="9234"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538C09E3" w14:textId="77777777" w:rsidR="009F541F" w:rsidRDefault="009F541F" w:rsidP="001645BE">
            <w:r>
              <w:rPr>
                <w:rFonts w:ascii="Arial" w:hAnsi="Arial"/>
                <w:b/>
                <w:color w:val="FFFFFF"/>
                <w:sz w:val="16"/>
              </w:rPr>
              <w:t xml:space="preserve"> 4º EJE. SISTEMAS DE GOBERNANZA Y COORDINACIÓN INSTITUCIONAL</w:t>
            </w:r>
          </w:p>
        </w:tc>
        <w:tc>
          <w:tcPr>
            <w:tcW w:w="881"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3E6421BB" w14:textId="77777777" w:rsidR="009F541F" w:rsidRDefault="009F541F" w:rsidP="001645BE">
            <w:pPr>
              <w:ind w:left="34"/>
              <w:jc w:val="center"/>
            </w:pPr>
            <w:r>
              <w:rPr>
                <w:rFonts w:ascii="Arial" w:hAnsi="Arial"/>
                <w:b/>
                <w:color w:val="FFFFFF"/>
                <w:sz w:val="16"/>
              </w:rPr>
              <w:t>2025</w:t>
            </w:r>
          </w:p>
        </w:tc>
        <w:tc>
          <w:tcPr>
            <w:tcW w:w="921" w:type="dxa"/>
            <w:gridSpan w:val="3"/>
            <w:tcBorders>
              <w:top w:val="single" w:sz="2" w:space="0" w:color="000000"/>
              <w:left w:val="single" w:sz="2" w:space="0" w:color="000000"/>
              <w:bottom w:val="single" w:sz="2" w:space="0" w:color="000000"/>
              <w:right w:val="single" w:sz="2" w:space="0" w:color="000000"/>
            </w:tcBorders>
            <w:shd w:val="clear" w:color="auto" w:fill="C9211E"/>
            <w:vAlign w:val="center"/>
          </w:tcPr>
          <w:p w14:paraId="226EDBBA" w14:textId="77777777" w:rsidR="009F541F" w:rsidRDefault="009F541F" w:rsidP="001645BE">
            <w:pPr>
              <w:ind w:left="58"/>
              <w:jc w:val="center"/>
            </w:pPr>
            <w:r>
              <w:rPr>
                <w:rFonts w:ascii="Arial" w:hAnsi="Arial"/>
                <w:b/>
                <w:color w:val="FFFFFF"/>
                <w:sz w:val="16"/>
              </w:rPr>
              <w:t>2026</w:t>
            </w:r>
          </w:p>
        </w:tc>
        <w:tc>
          <w:tcPr>
            <w:tcW w:w="870" w:type="dxa"/>
            <w:tcBorders>
              <w:top w:val="single" w:sz="2" w:space="0" w:color="000000"/>
              <w:left w:val="single" w:sz="2" w:space="0" w:color="000000"/>
              <w:bottom w:val="single" w:sz="2" w:space="0" w:color="000000"/>
              <w:right w:val="single" w:sz="2" w:space="0" w:color="000000"/>
            </w:tcBorders>
            <w:shd w:val="clear" w:color="auto" w:fill="C9211E"/>
            <w:vAlign w:val="center"/>
          </w:tcPr>
          <w:p w14:paraId="11F02B6A" w14:textId="77777777" w:rsidR="009F541F" w:rsidRDefault="009F541F" w:rsidP="001645BE">
            <w:pPr>
              <w:ind w:left="80"/>
              <w:jc w:val="center"/>
            </w:pPr>
            <w:r>
              <w:rPr>
                <w:rFonts w:ascii="Arial" w:hAnsi="Arial"/>
                <w:b/>
                <w:color w:val="FFFFFF"/>
                <w:sz w:val="16"/>
              </w:rPr>
              <w:t>2027</w:t>
            </w:r>
          </w:p>
        </w:tc>
        <w:tc>
          <w:tcPr>
            <w:tcW w:w="2662" w:type="dxa"/>
            <w:tcBorders>
              <w:top w:val="single" w:sz="2" w:space="0" w:color="000000"/>
              <w:left w:val="single" w:sz="2" w:space="0" w:color="000000"/>
              <w:bottom w:val="single" w:sz="2" w:space="0" w:color="000000"/>
              <w:right w:val="single" w:sz="2" w:space="0" w:color="000000"/>
            </w:tcBorders>
            <w:shd w:val="clear" w:color="auto" w:fill="C9211E"/>
          </w:tcPr>
          <w:p w14:paraId="45BE47DE" w14:textId="77777777" w:rsidR="009F541F" w:rsidRDefault="009F541F" w:rsidP="001645BE">
            <w:pPr>
              <w:jc w:val="center"/>
            </w:pPr>
            <w:r>
              <w:rPr>
                <w:rFonts w:ascii="Arial" w:hAnsi="Arial"/>
                <w:b/>
                <w:color w:val="FFFFFF"/>
                <w:sz w:val="16"/>
              </w:rPr>
              <w:t>Grado de relación con la declaración (alto-medio)</w:t>
            </w:r>
          </w:p>
        </w:tc>
      </w:tr>
      <w:tr w:rsidR="009F541F" w14:paraId="025282B4" w14:textId="77777777" w:rsidTr="001645BE">
        <w:trPr>
          <w:trHeight w:val="298"/>
        </w:trPr>
        <w:tc>
          <w:tcPr>
            <w:tcW w:w="9234" w:type="dxa"/>
            <w:tcBorders>
              <w:top w:val="single" w:sz="2" w:space="0" w:color="000000"/>
              <w:left w:val="single" w:sz="2" w:space="0" w:color="000000"/>
              <w:bottom w:val="single" w:sz="2" w:space="0" w:color="000000"/>
              <w:right w:val="nil"/>
            </w:tcBorders>
          </w:tcPr>
          <w:p w14:paraId="069E6F2F" w14:textId="77777777" w:rsidR="009F541F" w:rsidRDefault="009F541F" w:rsidP="001645BE">
            <w:r>
              <w:rPr>
                <w:rFonts w:ascii="Arial" w:hAnsi="Arial"/>
                <w:b/>
                <w:sz w:val="16"/>
              </w:rPr>
              <w:t>ESTRATEGIA 4.1 Sistema de evaluación y seguimiento</w:t>
            </w:r>
          </w:p>
        </w:tc>
        <w:tc>
          <w:tcPr>
            <w:tcW w:w="881" w:type="dxa"/>
            <w:tcBorders>
              <w:top w:val="single" w:sz="2" w:space="0" w:color="000000"/>
              <w:left w:val="nil"/>
              <w:bottom w:val="single" w:sz="2" w:space="0" w:color="000000"/>
              <w:right w:val="nil"/>
            </w:tcBorders>
          </w:tcPr>
          <w:p w14:paraId="071C179F" w14:textId="77777777" w:rsidR="009F541F" w:rsidRDefault="009F541F" w:rsidP="001645BE"/>
        </w:tc>
        <w:tc>
          <w:tcPr>
            <w:tcW w:w="921" w:type="dxa"/>
            <w:gridSpan w:val="3"/>
            <w:tcBorders>
              <w:top w:val="single" w:sz="2" w:space="0" w:color="000000"/>
              <w:left w:val="nil"/>
              <w:bottom w:val="single" w:sz="2" w:space="0" w:color="000000"/>
              <w:right w:val="nil"/>
            </w:tcBorders>
          </w:tcPr>
          <w:p w14:paraId="5BC2F56B" w14:textId="77777777" w:rsidR="009F541F" w:rsidRDefault="009F541F" w:rsidP="001645BE"/>
        </w:tc>
        <w:tc>
          <w:tcPr>
            <w:tcW w:w="870" w:type="dxa"/>
            <w:tcBorders>
              <w:top w:val="single" w:sz="2" w:space="0" w:color="000000"/>
              <w:left w:val="nil"/>
              <w:bottom w:val="single" w:sz="2" w:space="0" w:color="000000"/>
              <w:right w:val="nil"/>
            </w:tcBorders>
          </w:tcPr>
          <w:p w14:paraId="614DEEB9" w14:textId="77777777" w:rsidR="009F541F" w:rsidRDefault="009F541F" w:rsidP="001645BE"/>
        </w:tc>
        <w:tc>
          <w:tcPr>
            <w:tcW w:w="2662" w:type="dxa"/>
            <w:tcBorders>
              <w:top w:val="single" w:sz="2" w:space="0" w:color="000000"/>
              <w:left w:val="nil"/>
              <w:bottom w:val="single" w:sz="2" w:space="0" w:color="000000"/>
              <w:right w:val="single" w:sz="2" w:space="0" w:color="000000"/>
            </w:tcBorders>
          </w:tcPr>
          <w:p w14:paraId="05CC1BC8" w14:textId="77777777" w:rsidR="009F541F" w:rsidRDefault="009F541F" w:rsidP="001645BE"/>
        </w:tc>
      </w:tr>
      <w:tr w:rsidR="009F541F" w14:paraId="7E4AAC90" w14:textId="77777777" w:rsidTr="001645BE">
        <w:trPr>
          <w:trHeight w:val="416"/>
        </w:trPr>
        <w:tc>
          <w:tcPr>
            <w:tcW w:w="9234" w:type="dxa"/>
            <w:tcBorders>
              <w:top w:val="single" w:sz="2" w:space="0" w:color="000000"/>
              <w:left w:val="single" w:sz="2" w:space="0" w:color="000000"/>
              <w:bottom w:val="single" w:sz="2" w:space="0" w:color="000000"/>
              <w:right w:val="single" w:sz="2" w:space="0" w:color="000000"/>
            </w:tcBorders>
            <w:vAlign w:val="center"/>
          </w:tcPr>
          <w:p w14:paraId="326CEBF6" w14:textId="77777777" w:rsidR="009F541F" w:rsidRDefault="009F541F" w:rsidP="001645BE">
            <w:r>
              <w:rPr>
                <w:rFonts w:ascii="Arial" w:hAnsi="Arial"/>
                <w:sz w:val="16"/>
              </w:rPr>
              <w:t>Acción 4.1.1 Actualización de los indicadores asociados a la declaración de zona tensionada</w:t>
            </w:r>
          </w:p>
        </w:tc>
        <w:tc>
          <w:tcPr>
            <w:tcW w:w="881" w:type="dxa"/>
            <w:tcBorders>
              <w:top w:val="single" w:sz="2" w:space="0" w:color="000000"/>
              <w:left w:val="single" w:sz="2" w:space="0" w:color="000000"/>
              <w:bottom w:val="single" w:sz="2" w:space="0" w:color="000000"/>
              <w:right w:val="single" w:sz="2" w:space="0" w:color="000000"/>
            </w:tcBorders>
          </w:tcPr>
          <w:p w14:paraId="17A51B88"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tcPr>
          <w:p w14:paraId="341DEEBF"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7B5CF405"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380A4D77" w14:textId="77777777" w:rsidR="009F541F" w:rsidRDefault="009F541F" w:rsidP="001645BE">
            <w:pPr>
              <w:ind w:left="62"/>
              <w:jc w:val="center"/>
            </w:pPr>
            <w:r>
              <w:rPr>
                <w:rFonts w:ascii="Arial" w:hAnsi="Arial"/>
                <w:sz w:val="20"/>
              </w:rPr>
              <w:t>Baja</w:t>
            </w:r>
          </w:p>
        </w:tc>
      </w:tr>
      <w:tr w:rsidR="009F541F" w14:paraId="3924CA02" w14:textId="77777777" w:rsidTr="001645BE">
        <w:trPr>
          <w:trHeight w:val="414"/>
        </w:trPr>
        <w:tc>
          <w:tcPr>
            <w:tcW w:w="9234" w:type="dxa"/>
            <w:tcBorders>
              <w:top w:val="single" w:sz="2" w:space="0" w:color="000000"/>
              <w:left w:val="single" w:sz="2" w:space="0" w:color="000000"/>
              <w:bottom w:val="single" w:sz="2" w:space="0" w:color="000000"/>
              <w:right w:val="single" w:sz="2" w:space="0" w:color="000000"/>
            </w:tcBorders>
            <w:vAlign w:val="center"/>
          </w:tcPr>
          <w:p w14:paraId="11CB0474" w14:textId="77777777" w:rsidR="009F541F" w:rsidRDefault="009F541F" w:rsidP="001645BE">
            <w:r>
              <w:rPr>
                <w:rFonts w:ascii="Arial" w:hAnsi="Arial"/>
                <w:sz w:val="16"/>
              </w:rPr>
              <w:t>4.1.2 Evaluación anual del Plan de Acción</w:t>
            </w:r>
          </w:p>
        </w:tc>
        <w:tc>
          <w:tcPr>
            <w:tcW w:w="881" w:type="dxa"/>
            <w:tcBorders>
              <w:top w:val="single" w:sz="2" w:space="0" w:color="000000"/>
              <w:left w:val="single" w:sz="2" w:space="0" w:color="000000"/>
              <w:bottom w:val="single" w:sz="2" w:space="0" w:color="000000"/>
              <w:right w:val="single" w:sz="2" w:space="0" w:color="000000"/>
            </w:tcBorders>
          </w:tcPr>
          <w:p w14:paraId="34769E99"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45AF1FDC"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tcPr>
          <w:p w14:paraId="6A661150"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68B31475" w14:textId="77777777" w:rsidR="009F541F" w:rsidRDefault="009F541F" w:rsidP="001645BE">
            <w:pPr>
              <w:ind w:left="62"/>
              <w:jc w:val="center"/>
            </w:pPr>
            <w:r>
              <w:rPr>
                <w:rFonts w:ascii="Arial" w:hAnsi="Arial"/>
                <w:sz w:val="20"/>
              </w:rPr>
              <w:t>Medio</w:t>
            </w:r>
          </w:p>
        </w:tc>
      </w:tr>
      <w:tr w:rsidR="009F541F" w14:paraId="6DDEF03B" w14:textId="77777777" w:rsidTr="001645BE">
        <w:trPr>
          <w:trHeight w:val="416"/>
        </w:trPr>
        <w:tc>
          <w:tcPr>
            <w:tcW w:w="9234" w:type="dxa"/>
            <w:tcBorders>
              <w:top w:val="single" w:sz="2" w:space="0" w:color="000000"/>
              <w:left w:val="single" w:sz="2" w:space="0" w:color="000000"/>
              <w:bottom w:val="single" w:sz="2" w:space="0" w:color="000000"/>
              <w:right w:val="single" w:sz="2" w:space="0" w:color="000000"/>
            </w:tcBorders>
            <w:vAlign w:val="center"/>
          </w:tcPr>
          <w:p w14:paraId="53669215" w14:textId="77777777" w:rsidR="009F541F" w:rsidRDefault="009F541F" w:rsidP="001645BE">
            <w:r>
              <w:rPr>
                <w:rFonts w:ascii="Arial" w:hAnsi="Arial"/>
                <w:sz w:val="16"/>
              </w:rPr>
              <w:t>Acción 4.1.3. Información a la ciudadanía</w:t>
            </w:r>
          </w:p>
        </w:tc>
        <w:tc>
          <w:tcPr>
            <w:tcW w:w="881" w:type="dxa"/>
            <w:tcBorders>
              <w:top w:val="single" w:sz="2" w:space="0" w:color="000000"/>
              <w:left w:val="single" w:sz="2" w:space="0" w:color="000000"/>
              <w:bottom w:val="single" w:sz="2" w:space="0" w:color="000000"/>
              <w:right w:val="single" w:sz="2" w:space="0" w:color="000000"/>
            </w:tcBorders>
            <w:shd w:val="clear" w:color="auto" w:fill="FFD8CE"/>
          </w:tcPr>
          <w:p w14:paraId="20FF03ED"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72465BD5"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103DF830"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3466FC04" w14:textId="77777777" w:rsidR="009F541F" w:rsidRDefault="009F541F" w:rsidP="001645BE">
            <w:pPr>
              <w:ind w:left="62"/>
              <w:jc w:val="center"/>
            </w:pPr>
            <w:r>
              <w:rPr>
                <w:rFonts w:ascii="Arial" w:hAnsi="Arial"/>
                <w:sz w:val="20"/>
              </w:rPr>
              <w:t xml:space="preserve">Alto </w:t>
            </w:r>
          </w:p>
        </w:tc>
      </w:tr>
      <w:tr w:rsidR="009F541F" w14:paraId="5F53DEE4" w14:textId="77777777" w:rsidTr="001645BE">
        <w:trPr>
          <w:trHeight w:val="414"/>
        </w:trPr>
        <w:tc>
          <w:tcPr>
            <w:tcW w:w="9234" w:type="dxa"/>
            <w:tcBorders>
              <w:top w:val="single" w:sz="2" w:space="0" w:color="000000"/>
              <w:left w:val="single" w:sz="2" w:space="0" w:color="000000"/>
              <w:bottom w:val="single" w:sz="2" w:space="0" w:color="000000"/>
              <w:right w:val="single" w:sz="2" w:space="0" w:color="000000"/>
            </w:tcBorders>
            <w:vAlign w:val="center"/>
          </w:tcPr>
          <w:p w14:paraId="1CB2EBEA" w14:textId="77777777" w:rsidR="009F541F" w:rsidRDefault="009F541F" w:rsidP="001645BE">
            <w:r>
              <w:rPr>
                <w:rFonts w:ascii="Arial" w:hAnsi="Arial"/>
                <w:b/>
                <w:sz w:val="16"/>
              </w:rPr>
              <w:t>ESTRATEGIA 4.2 Sistemas de coordinación y participación en las políticas de vivienda</w:t>
            </w:r>
          </w:p>
        </w:tc>
        <w:tc>
          <w:tcPr>
            <w:tcW w:w="881" w:type="dxa"/>
            <w:tcBorders>
              <w:top w:val="single" w:sz="2" w:space="0" w:color="000000"/>
              <w:left w:val="single" w:sz="2" w:space="0" w:color="000000"/>
              <w:bottom w:val="single" w:sz="2" w:space="0" w:color="000000"/>
              <w:right w:val="single" w:sz="2" w:space="0" w:color="000000"/>
            </w:tcBorders>
          </w:tcPr>
          <w:p w14:paraId="171139D1"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tcPr>
          <w:p w14:paraId="0AE3B72F"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tcPr>
          <w:p w14:paraId="5CF738A6"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13452973" w14:textId="77777777" w:rsidR="009F541F" w:rsidRDefault="009F541F" w:rsidP="001645BE"/>
        </w:tc>
      </w:tr>
      <w:tr w:rsidR="009F541F" w14:paraId="6EBF3F87" w14:textId="77777777" w:rsidTr="001645BE">
        <w:trPr>
          <w:trHeight w:val="368"/>
        </w:trPr>
        <w:tc>
          <w:tcPr>
            <w:tcW w:w="9234" w:type="dxa"/>
            <w:tcBorders>
              <w:top w:val="single" w:sz="2" w:space="0" w:color="000000"/>
              <w:left w:val="single" w:sz="2" w:space="0" w:color="000000"/>
              <w:bottom w:val="single" w:sz="2" w:space="0" w:color="000000"/>
              <w:right w:val="single" w:sz="2" w:space="0" w:color="000000"/>
            </w:tcBorders>
          </w:tcPr>
          <w:p w14:paraId="2F9AC0EC" w14:textId="77777777" w:rsidR="009F541F" w:rsidRDefault="009F541F" w:rsidP="001645BE">
            <w:r>
              <w:rPr>
                <w:rFonts w:ascii="Arial" w:hAnsi="Arial"/>
                <w:sz w:val="16"/>
              </w:rPr>
              <w:t>Acción 4.2.1 Coordinación con el Gobierno Vasco</w:t>
            </w:r>
          </w:p>
        </w:tc>
        <w:tc>
          <w:tcPr>
            <w:tcW w:w="881" w:type="dxa"/>
            <w:tcBorders>
              <w:top w:val="single" w:sz="2" w:space="0" w:color="000000"/>
              <w:left w:val="single" w:sz="2" w:space="0" w:color="000000"/>
              <w:bottom w:val="single" w:sz="2" w:space="0" w:color="000000"/>
              <w:right w:val="single" w:sz="2" w:space="0" w:color="000000"/>
            </w:tcBorders>
            <w:shd w:val="clear" w:color="auto" w:fill="FFD8CE"/>
          </w:tcPr>
          <w:p w14:paraId="5EE7ED62" w14:textId="77777777" w:rsidR="009F541F" w:rsidRDefault="009F541F" w:rsidP="001645BE"/>
        </w:tc>
        <w:tc>
          <w:tcPr>
            <w:tcW w:w="921" w:type="dxa"/>
            <w:gridSpan w:val="3"/>
            <w:tcBorders>
              <w:top w:val="single" w:sz="2" w:space="0" w:color="000000"/>
              <w:left w:val="single" w:sz="2" w:space="0" w:color="000000"/>
              <w:bottom w:val="single" w:sz="2" w:space="0" w:color="000000"/>
              <w:right w:val="single" w:sz="2" w:space="0" w:color="000000"/>
            </w:tcBorders>
            <w:shd w:val="clear" w:color="auto" w:fill="FFD8CE"/>
          </w:tcPr>
          <w:p w14:paraId="028AA5AB" w14:textId="77777777" w:rsidR="009F541F" w:rsidRDefault="009F541F" w:rsidP="001645BE"/>
        </w:tc>
        <w:tc>
          <w:tcPr>
            <w:tcW w:w="870" w:type="dxa"/>
            <w:tcBorders>
              <w:top w:val="single" w:sz="2" w:space="0" w:color="000000"/>
              <w:left w:val="single" w:sz="2" w:space="0" w:color="000000"/>
              <w:bottom w:val="single" w:sz="2" w:space="0" w:color="000000"/>
              <w:right w:val="single" w:sz="2" w:space="0" w:color="000000"/>
            </w:tcBorders>
            <w:shd w:val="clear" w:color="auto" w:fill="FFD8CE"/>
          </w:tcPr>
          <w:p w14:paraId="1C02352A" w14:textId="77777777" w:rsidR="009F541F" w:rsidRDefault="009F541F" w:rsidP="001645BE"/>
        </w:tc>
        <w:tc>
          <w:tcPr>
            <w:tcW w:w="2662" w:type="dxa"/>
            <w:tcBorders>
              <w:top w:val="single" w:sz="2" w:space="0" w:color="000000"/>
              <w:left w:val="single" w:sz="2" w:space="0" w:color="000000"/>
              <w:bottom w:val="single" w:sz="2" w:space="0" w:color="000000"/>
              <w:right w:val="single" w:sz="2" w:space="0" w:color="000000"/>
            </w:tcBorders>
          </w:tcPr>
          <w:p w14:paraId="1BBE4DE6" w14:textId="77777777" w:rsidR="009F541F" w:rsidRDefault="009F541F" w:rsidP="001645BE">
            <w:pPr>
              <w:ind w:left="62"/>
              <w:jc w:val="center"/>
            </w:pPr>
            <w:r>
              <w:rPr>
                <w:rFonts w:ascii="Arial" w:hAnsi="Arial"/>
                <w:sz w:val="20"/>
              </w:rPr>
              <w:t xml:space="preserve">Alto </w:t>
            </w:r>
          </w:p>
        </w:tc>
      </w:tr>
    </w:tbl>
    <w:p w14:paraId="39F5091E" w14:textId="77777777" w:rsidR="009F541F" w:rsidRDefault="009F541F" w:rsidP="009F541F"/>
    <w:p w14:paraId="15E041C5" w14:textId="77777777" w:rsidR="00BC2890" w:rsidRDefault="00BC2890"/>
    <w:sectPr w:rsidR="00BC2890" w:rsidSect="009F541F">
      <w:headerReference w:type="even" r:id="rId29"/>
      <w:headerReference w:type="default" r:id="rId30"/>
      <w:footerReference w:type="even" r:id="rId31"/>
      <w:footerReference w:type="default" r:id="rId32"/>
      <w:headerReference w:type="first" r:id="rId33"/>
      <w:footerReference w:type="first" r:id="rId34"/>
      <w:pgSz w:w="16838" w:h="11906" w:orient="landscape"/>
      <w:pgMar w:top="1137" w:right="1440" w:bottom="11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4DC7" w14:textId="77777777" w:rsidR="00D35E9E" w:rsidRDefault="00D35E9E" w:rsidP="009F541F">
      <w:pPr>
        <w:spacing w:after="0" w:line="240" w:lineRule="auto"/>
      </w:pPr>
      <w:r>
        <w:separator/>
      </w:r>
    </w:p>
  </w:endnote>
  <w:endnote w:type="continuationSeparator" w:id="0">
    <w:p w14:paraId="6AA41754" w14:textId="77777777" w:rsidR="00D35E9E" w:rsidRDefault="00D35E9E" w:rsidP="009F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panose1 w:val="020B0604020202020204"/>
    <w:charset w:val="00"/>
    <w:family w:val="auto"/>
    <w:pitch w:val="variable"/>
    <w:sig w:usb0="800000AF" w:usb1="1001ECEA"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CBE9" w14:textId="77777777" w:rsidR="009F541F" w:rsidRDefault="009F541F">
    <w:pPr>
      <w:spacing w:after="0"/>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2</w:t>
    </w:r>
    <w:r>
      <w:rPr>
        <w:rFonts w:ascii="Arial" w:eastAsia="Arial" w:hAnsi="Arial" w:cs="Arial"/>
        <w:color w:val="666666"/>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C94C" w14:textId="77777777" w:rsidR="00A17AB9" w:rsidRDefault="00A17AB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0A9D" w14:textId="77777777" w:rsidR="00A17AB9" w:rsidRDefault="00A17AB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359C" w14:textId="77777777" w:rsidR="00A17AB9" w:rsidRDefault="00A17A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979" w14:textId="77777777" w:rsidR="009F541F" w:rsidRDefault="009F541F">
    <w:pPr>
      <w:spacing w:after="0"/>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2</w:t>
    </w:r>
    <w:r>
      <w:rPr>
        <w:rFonts w:ascii="Arial" w:eastAsia="Arial" w:hAnsi="Arial" w:cs="Arial"/>
        <w:color w:val="666666"/>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7186" w14:textId="77777777" w:rsidR="009F541F" w:rsidRDefault="009F54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C0E3" w14:textId="77777777" w:rsidR="009F541F" w:rsidRDefault="009F541F">
    <w:pPr>
      <w:spacing w:after="0"/>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2</w:t>
    </w:r>
    <w:r>
      <w:rPr>
        <w:rFonts w:ascii="Arial" w:eastAsia="Arial" w:hAnsi="Arial" w:cs="Arial"/>
        <w:color w:val="666666"/>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108C" w14:textId="77777777" w:rsidR="009F541F" w:rsidRDefault="009F541F">
    <w:pPr>
      <w:spacing w:after="0"/>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2</w:t>
    </w:r>
    <w:r>
      <w:rPr>
        <w:rFonts w:ascii="Arial" w:eastAsia="Arial" w:hAnsi="Arial" w:cs="Arial"/>
        <w:color w:val="666666"/>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1380" w14:textId="77777777" w:rsidR="009F541F" w:rsidRDefault="009F541F">
    <w:pPr>
      <w:spacing w:after="0"/>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2</w:t>
    </w:r>
    <w:r>
      <w:rPr>
        <w:rFonts w:ascii="Arial" w:eastAsia="Arial" w:hAnsi="Arial" w:cs="Arial"/>
        <w:color w:val="666666"/>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04A7" w14:textId="77777777" w:rsidR="009F541F" w:rsidRDefault="009F541F">
    <w:pPr>
      <w:spacing w:after="0"/>
      <w:ind w:right="-2"/>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10</w:t>
    </w:r>
    <w:r>
      <w:rPr>
        <w:rFonts w:ascii="Arial" w:eastAsia="Arial" w:hAnsi="Arial" w:cs="Arial"/>
        <w:color w:val="666666"/>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BE47" w14:textId="77777777" w:rsidR="009F541F" w:rsidRDefault="009F541F">
    <w:pPr>
      <w:spacing w:after="0"/>
      <w:ind w:right="-2"/>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10</w:t>
    </w:r>
    <w:r>
      <w:rPr>
        <w:rFonts w:ascii="Arial" w:eastAsia="Arial" w:hAnsi="Arial" w:cs="Arial"/>
        <w:color w:val="666666"/>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4BF5" w14:textId="77777777" w:rsidR="009F541F" w:rsidRDefault="009F541F">
    <w:pPr>
      <w:spacing w:after="0"/>
      <w:ind w:right="-2"/>
      <w:jc w:val="right"/>
    </w:pPr>
    <w:r>
      <w:rPr>
        <w:rFonts w:ascii="Arial" w:hAnsi="Arial"/>
        <w:color w:val="666666"/>
        <w:sz w:val="20"/>
      </w:rPr>
      <w:t xml:space="preserve">Hiritik At | </w:t>
    </w:r>
    <w:r>
      <w:fldChar w:fldCharType="begin"/>
    </w:r>
    <w:r>
      <w:instrText xml:space="preserve"> PAGE   \* MERGEFORMAT </w:instrText>
    </w:r>
    <w:r>
      <w:fldChar w:fldCharType="separate"/>
    </w:r>
    <w:r>
      <w:rPr>
        <w:rFonts w:ascii="Arial" w:eastAsia="Arial" w:hAnsi="Arial" w:cs="Arial"/>
        <w:color w:val="666666"/>
        <w:sz w:val="20"/>
      </w:rPr>
      <w:t>10</w:t>
    </w:r>
    <w:r>
      <w:rPr>
        <w:rFonts w:ascii="Arial" w:eastAsia="Arial" w:hAnsi="Arial" w:cs="Arial"/>
        <w:color w:val="66666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3EC3" w14:textId="77777777" w:rsidR="00D35E9E" w:rsidRDefault="00D35E9E" w:rsidP="009F541F">
      <w:pPr>
        <w:spacing w:after="0" w:line="240" w:lineRule="auto"/>
      </w:pPr>
      <w:r>
        <w:separator/>
      </w:r>
    </w:p>
  </w:footnote>
  <w:footnote w:type="continuationSeparator" w:id="0">
    <w:p w14:paraId="03F755CA" w14:textId="77777777" w:rsidR="00D35E9E" w:rsidRDefault="00D35E9E" w:rsidP="009F5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C1E9" w14:textId="77777777" w:rsidR="009F541F" w:rsidRDefault="009F541F">
    <w:pPr>
      <w:spacing w:after="0"/>
      <w:ind w:left="-900" w:right="9349"/>
    </w:pPr>
    <w:r>
      <w:rPr>
        <w:noProof/>
      </w:rPr>
      <mc:AlternateContent>
        <mc:Choice Requires="wpg">
          <w:drawing>
            <wp:anchor distT="0" distB="0" distL="114300" distR="114300" simplePos="0" relativeHeight="251659264" behindDoc="0" locked="0" layoutInCell="1" allowOverlap="1" wp14:anchorId="2F14E8E4" wp14:editId="50372D59">
              <wp:simplePos x="0" y="0"/>
              <wp:positionH relativeFrom="page">
                <wp:posOffset>751840</wp:posOffset>
              </wp:positionH>
              <wp:positionV relativeFrom="page">
                <wp:posOffset>683270</wp:posOffset>
              </wp:positionV>
              <wp:extent cx="153670" cy="153670"/>
              <wp:effectExtent l="0" t="0" r="0" b="0"/>
              <wp:wrapSquare wrapText="bothSides"/>
              <wp:docPr id="191072" name="Group 191072"/>
              <wp:cNvGraphicFramePr/>
              <a:graphic xmlns:a="http://schemas.openxmlformats.org/drawingml/2006/main">
                <a:graphicData uri="http://schemas.microsoft.com/office/word/2010/wordprocessingGroup">
                  <wpg:wgp>
                    <wpg:cNvGrpSpPr/>
                    <wpg:grpSpPr>
                      <a:xfrm>
                        <a:off x="0" y="0"/>
                        <a:ext cx="153670" cy="153670"/>
                        <a:chOff x="0" y="0"/>
                        <a:chExt cx="153670" cy="153670"/>
                      </a:xfrm>
                    </wpg:grpSpPr>
                    <wps:wsp>
                      <wps:cNvPr id="191073" name="Shape 191073"/>
                      <wps:cNvSpPr/>
                      <wps:spPr>
                        <a:xfrm>
                          <a:off x="0" y="0"/>
                          <a:ext cx="153670" cy="153670"/>
                        </a:xfrm>
                        <a:custGeom>
                          <a:avLst/>
                          <a:gdLst/>
                          <a:ahLst/>
                          <a:cxnLst/>
                          <a:rect l="0" t="0" r="0" b="0"/>
                          <a:pathLst>
                            <a:path w="153670" h="153670">
                              <a:moveTo>
                                <a:pt x="0" y="0"/>
                              </a:moveTo>
                              <a:lnTo>
                                <a:pt x="153670" y="0"/>
                              </a:lnTo>
                              <a:lnTo>
                                <a:pt x="153670" y="153670"/>
                              </a:lnTo>
                              <a:lnTo>
                                <a:pt x="76835" y="153670"/>
                              </a:lnTo>
                              <a:lnTo>
                                <a:pt x="0" y="1536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074" name="Shape 191074"/>
                      <wps:cNvSpPr/>
                      <wps:spPr>
                        <a:xfrm>
                          <a:off x="0" y="0"/>
                          <a:ext cx="153670" cy="153670"/>
                        </a:xfrm>
                        <a:custGeom>
                          <a:avLst/>
                          <a:gdLst/>
                          <a:ahLst/>
                          <a:cxnLst/>
                          <a:rect l="0" t="0" r="0" b="0"/>
                          <a:pathLst>
                            <a:path w="153670" h="153670">
                              <a:moveTo>
                                <a:pt x="76835" y="153670"/>
                              </a:moveTo>
                              <a:lnTo>
                                <a:pt x="0" y="153670"/>
                              </a:lnTo>
                              <a:lnTo>
                                <a:pt x="0" y="0"/>
                              </a:lnTo>
                              <a:lnTo>
                                <a:pt x="153670" y="0"/>
                              </a:lnTo>
                              <a:lnTo>
                                <a:pt x="153670" y="153670"/>
                              </a:lnTo>
                              <a:lnTo>
                                <a:pt x="76835" y="153670"/>
                              </a:lnTo>
                              <a:close/>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3F0778B" id="Group 191072" o:spid="_x0000_s1026" style="position:absolute;margin-left:59.2pt;margin-top:53.8pt;width:12.1pt;height:12.1pt;z-index:251659264;mso-position-horizontal-relative:page;mso-position-vertical-relative:page" coordsize="15367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">
              <v:shape id="Shape 191073" o:spid="_x0000_s1027" style="position:absolute;width:153670;height:153670;visibility:visible;mso-wrap-style:square;v-text-anchor:top" coordsize="15367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" path="m,l153670,r,153670l76835,153670,,153670,,xe" fillcolor="black" stroked="f" strokeweight="0">
                <v:stroke miterlimit="83231f" joinstyle="miter"/>
                <v:path arrowok="t" textboxrect="0,0,153670,153670"/>
              </v:shape>
              <v:shape id="Shape 191074" o:spid="_x0000_s1028" style="position:absolute;width:153670;height:153670;visibility:visible;mso-wrap-style:square;v-text-anchor:top" coordsize="15367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" path="m76835,153670l,153670,,,153670,r,153670l76835,153670xe" filled="f" strokeweight="0">
                <v:path arrowok="t" textboxrect="0,0,153670,153670"/>
              </v:shape>
              <w10:wrap type="square"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84FD" w14:textId="77777777" w:rsidR="00A17AB9" w:rsidRDefault="00A17AB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FFA1" w14:textId="77777777" w:rsidR="00A17AB9" w:rsidRDefault="00A17AB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3D10" w14:textId="77777777" w:rsidR="00A17AB9" w:rsidRDefault="00A17A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7277" w14:textId="77777777" w:rsidR="009F541F" w:rsidRDefault="009F541F">
    <w:pPr>
      <w:spacing w:after="0"/>
      <w:ind w:left="284"/>
    </w:pPr>
    <w:r>
      <w:t>Plan de Acción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BAB" w14:textId="77777777" w:rsidR="009F541F" w:rsidRDefault="009F541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EBE2" w14:textId="77777777" w:rsidR="009F541F" w:rsidRDefault="009F541F">
    <w:pPr>
      <w:spacing w:after="0"/>
      <w:ind w:left="284"/>
    </w:pPr>
    <w:r>
      <w:t>Plan de Acción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9210" w14:textId="77777777" w:rsidR="009F541F" w:rsidRDefault="009F541F">
    <w:pPr>
      <w:spacing w:after="0"/>
      <w:ind w:left="284"/>
    </w:pPr>
    <w:r>
      <w:t>Plan de Acción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B1EA" w14:textId="77777777" w:rsidR="009F541F" w:rsidRDefault="009F541F">
    <w:pPr>
      <w:spacing w:after="0"/>
      <w:ind w:left="284"/>
    </w:pPr>
    <w:r>
      <w:t>Plan de Acción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A60E" w14:textId="77777777" w:rsidR="009F541F" w:rsidRDefault="009F541F">
    <w:pPr>
      <w:spacing w:after="0"/>
      <w:ind w:left="48"/>
    </w:pPr>
    <w:r>
      <w:t>Plan de Acción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2F3B" w14:textId="77777777" w:rsidR="009F541F" w:rsidRDefault="009F541F">
    <w:pPr>
      <w:spacing w:after="0"/>
      <w:ind w:left="48"/>
    </w:pPr>
    <w:r>
      <w:t>Plan de Acción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8F56" w14:textId="77777777" w:rsidR="009F541F" w:rsidRDefault="009F541F">
    <w:pPr>
      <w:spacing w:after="0"/>
      <w:ind w:left="48"/>
    </w:pPr>
    <w:r>
      <w:t>Plan de Acción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6A4"/>
    <w:multiLevelType w:val="hybridMultilevel"/>
    <w:tmpl w:val="413C2CB0"/>
    <w:lvl w:ilvl="0" w:tplc="D72E89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C898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8CE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031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27C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029D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964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67C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ACA1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91E7E"/>
    <w:multiLevelType w:val="hybridMultilevel"/>
    <w:tmpl w:val="0A2464FA"/>
    <w:lvl w:ilvl="0" w:tplc="3DA68E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B8D1AE">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A1C23164">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350C8A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409E12">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BA4EBB10">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F80A53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4A970C">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38F0B01C">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E5344"/>
    <w:multiLevelType w:val="hybridMultilevel"/>
    <w:tmpl w:val="303A99E2"/>
    <w:lvl w:ilvl="0" w:tplc="F1889E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E60C6">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2940E380">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213099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4DE84">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27D4571A">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0504E2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478C4">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877C3C1E">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5867E1"/>
    <w:multiLevelType w:val="hybridMultilevel"/>
    <w:tmpl w:val="C35E847C"/>
    <w:lvl w:ilvl="0" w:tplc="F90613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8BC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98F5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C415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88D4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A5F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DA24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A6C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4D2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BC17E6"/>
    <w:multiLevelType w:val="hybridMultilevel"/>
    <w:tmpl w:val="F1169EC2"/>
    <w:lvl w:ilvl="0" w:tplc="0284E0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C8B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565B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44A3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440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6A72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8E82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486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2C85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1554E9"/>
    <w:multiLevelType w:val="hybridMultilevel"/>
    <w:tmpl w:val="83969B94"/>
    <w:lvl w:ilvl="0" w:tplc="F28680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2EA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4479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8E15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C29A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72FB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287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5498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ABF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210AC5"/>
    <w:multiLevelType w:val="hybridMultilevel"/>
    <w:tmpl w:val="B8124060"/>
    <w:lvl w:ilvl="0" w:tplc="0DBEB6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0EE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8E6F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20F1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C63C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E45C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E8D4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EA37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045C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581458"/>
    <w:multiLevelType w:val="hybridMultilevel"/>
    <w:tmpl w:val="5DE44930"/>
    <w:lvl w:ilvl="0" w:tplc="0762B7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6DC22">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C3B44FBC">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CBAAC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8834A2">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ABA8B6EC">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181A0E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4CEF0">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880C95EE">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CD161C"/>
    <w:multiLevelType w:val="hybridMultilevel"/>
    <w:tmpl w:val="D2CC94DC"/>
    <w:lvl w:ilvl="0" w:tplc="2A685C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F810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8EEB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A7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9A40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9E5C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2466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8D9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5863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FC2E52"/>
    <w:multiLevelType w:val="hybridMultilevel"/>
    <w:tmpl w:val="64382978"/>
    <w:lvl w:ilvl="0" w:tplc="2C40F8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7E3E92">
      <w:start w:val="1"/>
      <w:numFmt w:val="bullet"/>
      <w:lvlText w:val="o"/>
      <w:lvlJc w:val="left"/>
      <w:pPr>
        <w:ind w:left="1442"/>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C332D920">
      <w:start w:val="1"/>
      <w:numFmt w:val="bullet"/>
      <w:lvlText w:val="▪"/>
      <w:lvlJc w:val="left"/>
      <w:pPr>
        <w:ind w:left="2162"/>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1CC86F48">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32D2DA">
      <w:start w:val="1"/>
      <w:numFmt w:val="bullet"/>
      <w:lvlText w:val="o"/>
      <w:lvlJc w:val="left"/>
      <w:pPr>
        <w:ind w:left="3602"/>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7C401A16">
      <w:start w:val="1"/>
      <w:numFmt w:val="bullet"/>
      <w:lvlText w:val="▪"/>
      <w:lvlJc w:val="left"/>
      <w:pPr>
        <w:ind w:left="4322"/>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2F063DDA">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749ACE">
      <w:start w:val="1"/>
      <w:numFmt w:val="bullet"/>
      <w:lvlText w:val="o"/>
      <w:lvlJc w:val="left"/>
      <w:pPr>
        <w:ind w:left="5762"/>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78141A9A">
      <w:start w:val="1"/>
      <w:numFmt w:val="bullet"/>
      <w:lvlText w:val="▪"/>
      <w:lvlJc w:val="left"/>
      <w:pPr>
        <w:ind w:left="6482"/>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CB46D6"/>
    <w:multiLevelType w:val="hybridMultilevel"/>
    <w:tmpl w:val="8FC63FEE"/>
    <w:lvl w:ilvl="0" w:tplc="DBF833D8">
      <w:start w:val="1"/>
      <w:numFmt w:val="upperLetter"/>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A480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B044A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685ED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E3E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1C93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F62F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8E5B4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9E9B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802964"/>
    <w:multiLevelType w:val="hybridMultilevel"/>
    <w:tmpl w:val="24B82AE0"/>
    <w:lvl w:ilvl="0" w:tplc="51220D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F6CF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8EEC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2ED0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52D2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74DC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E21A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EB6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F6D7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392499"/>
    <w:multiLevelType w:val="hybridMultilevel"/>
    <w:tmpl w:val="64F46E78"/>
    <w:lvl w:ilvl="0" w:tplc="54D85A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166ED4">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3F506DE4">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48BCBB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092B0">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0846E474">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FB882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96FD32">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F1EC75F8">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584A38"/>
    <w:multiLevelType w:val="hybridMultilevel"/>
    <w:tmpl w:val="1158E3B0"/>
    <w:lvl w:ilvl="0" w:tplc="535695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2C72E">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C5C6CB10">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DFC890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66648">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52DC37BA">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5AB2BF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6C2BE">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65E44458">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5F061B"/>
    <w:multiLevelType w:val="hybridMultilevel"/>
    <w:tmpl w:val="EFC86A0A"/>
    <w:lvl w:ilvl="0" w:tplc="57A4C9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70D0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21A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6A90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2BF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A2A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7867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01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4F7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4286C58"/>
    <w:multiLevelType w:val="hybridMultilevel"/>
    <w:tmpl w:val="773EF3B8"/>
    <w:lvl w:ilvl="0" w:tplc="8A8EFC60">
      <w:start w:val="2"/>
      <w:numFmt w:val="decimal"/>
      <w:lvlText w:val="%1."/>
      <w:lvlJc w:val="left"/>
      <w:pPr>
        <w:ind w:left="54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8F0EB6A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EEACC92">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C02CB3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8187A3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D6D2C78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BCC5E2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CDD6314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19EC0F2">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9450D33"/>
    <w:multiLevelType w:val="hybridMultilevel"/>
    <w:tmpl w:val="15C0EE48"/>
    <w:lvl w:ilvl="0" w:tplc="FA1E0B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043DE8">
      <w:start w:val="1"/>
      <w:numFmt w:val="bullet"/>
      <w:lvlText w:val="o"/>
      <w:lvlJc w:val="left"/>
      <w:pPr>
        <w:ind w:left="10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4308FE0A">
      <w:start w:val="1"/>
      <w:numFmt w:val="bullet"/>
      <w:lvlText w:val="▪"/>
      <w:lvlJc w:val="left"/>
      <w:pPr>
        <w:ind w:left="18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5896E1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41382">
      <w:start w:val="1"/>
      <w:numFmt w:val="bullet"/>
      <w:lvlText w:val="o"/>
      <w:lvlJc w:val="left"/>
      <w:pPr>
        <w:ind w:left="32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DCA40306">
      <w:start w:val="1"/>
      <w:numFmt w:val="bullet"/>
      <w:lvlText w:val="▪"/>
      <w:lvlJc w:val="left"/>
      <w:pPr>
        <w:ind w:left="39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5194EA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4CA1E">
      <w:start w:val="1"/>
      <w:numFmt w:val="bullet"/>
      <w:lvlText w:val="o"/>
      <w:lvlJc w:val="left"/>
      <w:pPr>
        <w:ind w:left="54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784A3D0C">
      <w:start w:val="1"/>
      <w:numFmt w:val="bullet"/>
      <w:lvlText w:val="▪"/>
      <w:lvlJc w:val="left"/>
      <w:pPr>
        <w:ind w:left="61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num w:numId="1" w16cid:durableId="514657319">
    <w:abstractNumId w:val="0"/>
  </w:num>
  <w:num w:numId="2" w16cid:durableId="1275866675">
    <w:abstractNumId w:val="3"/>
  </w:num>
  <w:num w:numId="3" w16cid:durableId="710764860">
    <w:abstractNumId w:val="15"/>
  </w:num>
  <w:num w:numId="4" w16cid:durableId="467161614">
    <w:abstractNumId w:val="13"/>
  </w:num>
  <w:num w:numId="5" w16cid:durableId="2023047714">
    <w:abstractNumId w:val="12"/>
  </w:num>
  <w:num w:numId="6" w16cid:durableId="1726106320">
    <w:abstractNumId w:val="14"/>
  </w:num>
  <w:num w:numId="7" w16cid:durableId="662583392">
    <w:abstractNumId w:val="11"/>
  </w:num>
  <w:num w:numId="8" w16cid:durableId="1054157439">
    <w:abstractNumId w:val="2"/>
  </w:num>
  <w:num w:numId="9" w16cid:durableId="1027561785">
    <w:abstractNumId w:val="9"/>
  </w:num>
  <w:num w:numId="10" w16cid:durableId="947660467">
    <w:abstractNumId w:val="5"/>
  </w:num>
  <w:num w:numId="11" w16cid:durableId="1635134258">
    <w:abstractNumId w:val="10"/>
  </w:num>
  <w:num w:numId="12" w16cid:durableId="175198271">
    <w:abstractNumId w:val="6"/>
  </w:num>
  <w:num w:numId="13" w16cid:durableId="1610967275">
    <w:abstractNumId w:val="8"/>
  </w:num>
  <w:num w:numId="14" w16cid:durableId="1594195377">
    <w:abstractNumId w:val="16"/>
  </w:num>
  <w:num w:numId="15" w16cid:durableId="1382754746">
    <w:abstractNumId w:val="1"/>
  </w:num>
  <w:num w:numId="16" w16cid:durableId="2096978442">
    <w:abstractNumId w:val="4"/>
  </w:num>
  <w:num w:numId="17" w16cid:durableId="333342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1F"/>
    <w:rsid w:val="00045148"/>
    <w:rsid w:val="000812D8"/>
    <w:rsid w:val="00235AAC"/>
    <w:rsid w:val="004C33D6"/>
    <w:rsid w:val="004E4E7D"/>
    <w:rsid w:val="0055687B"/>
    <w:rsid w:val="005A23D9"/>
    <w:rsid w:val="006C31C8"/>
    <w:rsid w:val="00806FE3"/>
    <w:rsid w:val="00882F39"/>
    <w:rsid w:val="009B3F39"/>
    <w:rsid w:val="009F541F"/>
    <w:rsid w:val="00A17AB9"/>
    <w:rsid w:val="00A65739"/>
    <w:rsid w:val="00AB6549"/>
    <w:rsid w:val="00B53987"/>
    <w:rsid w:val="00B845DA"/>
    <w:rsid w:val="00BC2890"/>
    <w:rsid w:val="00BE6016"/>
    <w:rsid w:val="00C267C0"/>
    <w:rsid w:val="00C3034F"/>
    <w:rsid w:val="00CA27B4"/>
    <w:rsid w:val="00CD32A0"/>
    <w:rsid w:val="00D35E9E"/>
    <w:rsid w:val="00D36DDB"/>
    <w:rsid w:val="00E8710F"/>
    <w:rsid w:val="00E94E36"/>
    <w:rsid w:val="00EE3232"/>
    <w:rsid w:val="00F37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4BFE"/>
  <w15:chartTrackingRefBased/>
  <w15:docId w15:val="{C3243AE3-5844-4F04-AACD-F472A0E9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1F"/>
    <w:rPr>
      <w:rFonts w:ascii="Calibri" w:eastAsia="Calibri" w:hAnsi="Calibri" w:cs="Calibri"/>
      <w:color w:val="000000"/>
      <w:szCs w:val="24"/>
      <w:lang w:eastAsia="es-ES"/>
    </w:rPr>
  </w:style>
  <w:style w:type="paragraph" w:styleId="Ttulo1">
    <w:name w:val="heading 1"/>
    <w:basedOn w:val="Normal"/>
    <w:next w:val="Normal"/>
    <w:link w:val="Ttulo1Car"/>
    <w:uiPriority w:val="9"/>
    <w:qFormat/>
    <w:rsid w:val="009F5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F5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F54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54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9F54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54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54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54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54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54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9F54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9F54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541F"/>
    <w:rPr>
      <w:rFonts w:eastAsiaTheme="majorEastAsia" w:cstheme="majorBidi"/>
      <w:i/>
      <w:iCs/>
      <w:color w:val="0F4761" w:themeColor="accent1" w:themeShade="BF"/>
    </w:rPr>
  </w:style>
  <w:style w:type="character" w:customStyle="1" w:styleId="Ttulo5Car">
    <w:name w:val="Título 5 Car"/>
    <w:basedOn w:val="Fuentedeprrafopredeter"/>
    <w:link w:val="Ttulo5"/>
    <w:rsid w:val="009F54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54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54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54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541F"/>
    <w:rPr>
      <w:rFonts w:eastAsiaTheme="majorEastAsia" w:cstheme="majorBidi"/>
      <w:color w:val="272727" w:themeColor="text1" w:themeTint="D8"/>
    </w:rPr>
  </w:style>
  <w:style w:type="paragraph" w:styleId="Ttulo">
    <w:name w:val="Title"/>
    <w:basedOn w:val="Normal"/>
    <w:next w:val="Normal"/>
    <w:link w:val="TtuloCar"/>
    <w:uiPriority w:val="10"/>
    <w:qFormat/>
    <w:rsid w:val="009F5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54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54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54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541F"/>
    <w:pPr>
      <w:spacing w:before="160"/>
      <w:jc w:val="center"/>
    </w:pPr>
    <w:rPr>
      <w:i/>
      <w:iCs/>
      <w:color w:val="404040" w:themeColor="text1" w:themeTint="BF"/>
    </w:rPr>
  </w:style>
  <w:style w:type="character" w:customStyle="1" w:styleId="CitaCar">
    <w:name w:val="Cita Car"/>
    <w:basedOn w:val="Fuentedeprrafopredeter"/>
    <w:link w:val="Cita"/>
    <w:uiPriority w:val="29"/>
    <w:rsid w:val="009F541F"/>
    <w:rPr>
      <w:i/>
      <w:iCs/>
      <w:color w:val="404040" w:themeColor="text1" w:themeTint="BF"/>
    </w:rPr>
  </w:style>
  <w:style w:type="paragraph" w:styleId="Prrafodelista">
    <w:name w:val="List Paragraph"/>
    <w:basedOn w:val="Normal"/>
    <w:uiPriority w:val="34"/>
    <w:qFormat/>
    <w:rsid w:val="009F541F"/>
    <w:pPr>
      <w:ind w:left="720"/>
      <w:contextualSpacing/>
    </w:pPr>
  </w:style>
  <w:style w:type="character" w:styleId="nfasisintenso">
    <w:name w:val="Intense Emphasis"/>
    <w:basedOn w:val="Fuentedeprrafopredeter"/>
    <w:uiPriority w:val="21"/>
    <w:qFormat/>
    <w:rsid w:val="009F541F"/>
    <w:rPr>
      <w:i/>
      <w:iCs/>
      <w:color w:val="0F4761" w:themeColor="accent1" w:themeShade="BF"/>
    </w:rPr>
  </w:style>
  <w:style w:type="paragraph" w:styleId="Citadestacada">
    <w:name w:val="Intense Quote"/>
    <w:basedOn w:val="Normal"/>
    <w:next w:val="Normal"/>
    <w:link w:val="CitadestacadaCar"/>
    <w:uiPriority w:val="30"/>
    <w:qFormat/>
    <w:rsid w:val="009F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541F"/>
    <w:rPr>
      <w:i/>
      <w:iCs/>
      <w:color w:val="0F4761" w:themeColor="accent1" w:themeShade="BF"/>
    </w:rPr>
  </w:style>
  <w:style w:type="character" w:styleId="Referenciaintensa">
    <w:name w:val="Intense Reference"/>
    <w:basedOn w:val="Fuentedeprrafopredeter"/>
    <w:uiPriority w:val="32"/>
    <w:qFormat/>
    <w:rsid w:val="009F541F"/>
    <w:rPr>
      <w:b/>
      <w:bCs/>
      <w:smallCaps/>
      <w:color w:val="0F4761" w:themeColor="accent1" w:themeShade="BF"/>
      <w:spacing w:val="5"/>
    </w:rPr>
  </w:style>
  <w:style w:type="paragraph" w:customStyle="1" w:styleId="footnotedescription">
    <w:name w:val="footnote description"/>
    <w:next w:val="Normal"/>
    <w:link w:val="footnotedescriptionChar"/>
    <w:hidden/>
    <w:rsid w:val="009F541F"/>
    <w:pPr>
      <w:spacing w:after="0"/>
    </w:pPr>
    <w:rPr>
      <w:rFonts w:ascii="Calibri" w:eastAsia="Calibri" w:hAnsi="Calibri" w:cs="Calibri"/>
      <w:color w:val="000000"/>
      <w:sz w:val="13"/>
      <w:szCs w:val="24"/>
      <w:lang w:eastAsia="es-ES"/>
    </w:rPr>
  </w:style>
  <w:style w:type="character" w:customStyle="1" w:styleId="footnotedescriptionChar">
    <w:name w:val="footnote description Char"/>
    <w:link w:val="footnotedescription"/>
    <w:rsid w:val="009F541F"/>
    <w:rPr>
      <w:rFonts w:ascii="Calibri" w:eastAsia="Calibri" w:hAnsi="Calibri" w:cs="Calibri"/>
      <w:color w:val="000000"/>
      <w:sz w:val="13"/>
      <w:szCs w:val="24"/>
      <w:lang w:eastAsia="es-ES"/>
    </w:rPr>
  </w:style>
  <w:style w:type="paragraph" w:styleId="TDC1">
    <w:name w:val="toc 1"/>
    <w:hidden/>
    <w:uiPriority w:val="39"/>
    <w:rsid w:val="009F541F"/>
    <w:pPr>
      <w:spacing w:after="203" w:line="250" w:lineRule="auto"/>
      <w:ind w:left="261" w:right="23" w:hanging="10"/>
      <w:jc w:val="both"/>
    </w:pPr>
    <w:rPr>
      <w:rFonts w:ascii="Arial" w:eastAsia="Arial" w:hAnsi="Arial" w:cs="Arial"/>
      <w:b/>
      <w:color w:val="000000"/>
      <w:sz w:val="28"/>
      <w:szCs w:val="24"/>
      <w:lang w:eastAsia="es-ES"/>
    </w:rPr>
  </w:style>
  <w:style w:type="paragraph" w:styleId="TDC2">
    <w:name w:val="toc 2"/>
    <w:hidden/>
    <w:uiPriority w:val="39"/>
    <w:rsid w:val="009F541F"/>
    <w:pPr>
      <w:spacing w:after="107"/>
      <w:ind w:left="545" w:right="23" w:hanging="10"/>
      <w:jc w:val="both"/>
    </w:pPr>
    <w:rPr>
      <w:rFonts w:ascii="Arial" w:eastAsia="Arial" w:hAnsi="Arial" w:cs="Arial"/>
      <w:color w:val="000000"/>
      <w:szCs w:val="24"/>
      <w:lang w:eastAsia="es-ES"/>
    </w:rPr>
  </w:style>
  <w:style w:type="paragraph" w:styleId="TDC3">
    <w:name w:val="toc 3"/>
    <w:hidden/>
    <w:uiPriority w:val="39"/>
    <w:rsid w:val="009F541F"/>
    <w:pPr>
      <w:spacing w:after="106"/>
      <w:ind w:left="545" w:right="23" w:hanging="10"/>
      <w:jc w:val="both"/>
    </w:pPr>
    <w:rPr>
      <w:rFonts w:ascii="Arial" w:eastAsia="Arial" w:hAnsi="Arial" w:cs="Arial"/>
      <w:color w:val="000000"/>
      <w:szCs w:val="24"/>
      <w:lang w:eastAsia="es-ES"/>
    </w:rPr>
  </w:style>
  <w:style w:type="character" w:customStyle="1" w:styleId="footnotemark">
    <w:name w:val="footnote mark"/>
    <w:hidden/>
    <w:rsid w:val="009F541F"/>
    <w:rPr>
      <w:rFonts w:ascii="Calibri" w:eastAsia="Calibri" w:hAnsi="Calibri" w:cs="Calibri"/>
      <w:color w:val="000000"/>
      <w:sz w:val="20"/>
      <w:vertAlign w:val="superscript"/>
    </w:rPr>
  </w:style>
  <w:style w:type="table" w:customStyle="1" w:styleId="TableGrid">
    <w:name w:val="TableGrid"/>
    <w:rsid w:val="009F541F"/>
    <w:pPr>
      <w:spacing w:after="0" w:line="240" w:lineRule="auto"/>
    </w:pPr>
    <w:rPr>
      <w:rFonts w:eastAsiaTheme="minorEastAsia"/>
      <w:sz w:val="24"/>
      <w:szCs w:val="24"/>
      <w:lang w:eastAsia="es-ES"/>
    </w:rPr>
    <w:tblPr>
      <w:tblCellMar>
        <w:top w:w="0" w:type="dxa"/>
        <w:left w:w="0" w:type="dxa"/>
        <w:bottom w:w="0" w:type="dxa"/>
        <w:right w:w="0" w:type="dxa"/>
      </w:tblCellMar>
    </w:tblPr>
  </w:style>
  <w:style w:type="character" w:styleId="Hipervnculo">
    <w:name w:val="Hyperlink"/>
    <w:basedOn w:val="Fuentedeprrafopredeter"/>
    <w:uiPriority w:val="99"/>
    <w:unhideWhenUsed/>
    <w:rsid w:val="00C303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1.jpg"/><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eed0c6-a2f9-4b40-929b-2662350a63c6" xsi:nil="true"/>
    <lcf76f155ced4ddcb4097134ff3c332f xmlns="45ed0f28-a515-486d-8933-8f944b73d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2A1F821DE80947BA2A4519960AB5A4" ma:contentTypeVersion="18" ma:contentTypeDescription="Crear nuevo documento." ma:contentTypeScope="" ma:versionID="ea5016ef9adffe305a6e6ea78fe8baef">
  <xsd:schema xmlns:xsd="http://www.w3.org/2001/XMLSchema" xmlns:xs="http://www.w3.org/2001/XMLSchema" xmlns:p="http://schemas.microsoft.com/office/2006/metadata/properties" xmlns:ns2="45ed0f28-a515-486d-8933-8f944b73dba6" xmlns:ns3="a0eed0c6-a2f9-4b40-929b-2662350a63c6" targetNamespace="http://schemas.microsoft.com/office/2006/metadata/properties" ma:root="true" ma:fieldsID="785f06ef42b4b46ca7fbf5dd1e45aa49" ns2:_="" ns3:_="">
    <xsd:import namespace="45ed0f28-a515-486d-8933-8f944b73dba6"/>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d0f28-a515-486d-8933-8f944b73d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fff7daa-c76f-4454-99d4-1722d5aef550}"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0266D-7CE3-499F-8EE5-3B0AB09EBECB}">
  <ds:schemaRefs>
    <ds:schemaRef ds:uri="http://schemas.microsoft.com/office/2006/metadata/properties"/>
    <ds:schemaRef ds:uri="http://www.w3.org/2000/xmlns/"/>
    <ds:schemaRef ds:uri="2181b18d-d5bb-4661-9cbe-9a09a103df1c"/>
    <ds:schemaRef ds:uri="http://www.w3.org/2001/XMLSchema-instance"/>
    <ds:schemaRef ds:uri="615b5638-17a8-4122-884b-593b22ed900d"/>
    <ds:schemaRef ds:uri="http://schemas.microsoft.com/office/infopath/2007/PartnerControls"/>
  </ds:schemaRefs>
</ds:datastoreItem>
</file>

<file path=customXml/itemProps2.xml><?xml version="1.0" encoding="utf-8"?>
<ds:datastoreItem xmlns:ds="http://schemas.openxmlformats.org/officeDocument/2006/customXml" ds:itemID="{F295932A-2BE4-4DB3-8D1C-6280984A668E}">
  <ds:schemaRefs>
    <ds:schemaRef ds:uri="http://schemas.microsoft.com/sharepoint/v3/contenttype/forms"/>
  </ds:schemaRefs>
</ds:datastoreItem>
</file>

<file path=customXml/itemProps3.xml><?xml version="1.0" encoding="utf-8"?>
<ds:datastoreItem xmlns:ds="http://schemas.openxmlformats.org/officeDocument/2006/customXml" ds:itemID="{D3162052-09D3-4B19-96BF-F476F70715E9}"/>
</file>

<file path=docProps/app.xml><?xml version="1.0" encoding="utf-8"?>
<Properties xmlns="http://schemas.openxmlformats.org/officeDocument/2006/extended-properties" xmlns:vt="http://schemas.openxmlformats.org/officeDocument/2006/docPropsVTypes">
  <Template>Normal</Template>
  <TotalTime>0</TotalTime>
  <Pages>1</Pages>
  <Words>10734</Words>
  <Characters>59037</Characters>
  <Application>Microsoft Office Word</Application>
  <DocSecurity>0</DocSecurity>
  <Lines>491</Lines>
  <Paragraphs>139</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Manero Jimenez, Lidia</dc:creator>
  <cp:keywords/>
  <dc:description/>
  <cp:lastModifiedBy>Beistegui Liberal, Saioa</cp:lastModifiedBy>
  <cp:revision>2</cp:revision>
  <dcterms:created xsi:type="dcterms:W3CDTF">2025-10-22T15:17:00Z</dcterms:created>
  <dcterms:modified xsi:type="dcterms:W3CDTF">2025-10-22T15:17:00Z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0x010100712A1F821DE80947BA2A4519960AB5A4</vt:lpwstr>
  </property>
</Properties>
</file>