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tblGrid>
      <w:tr w:rsidR="004F0E70" w:rsidRPr="003F5FA2" w14:paraId="52D323AC" w14:textId="77777777" w:rsidTr="001677F2">
        <w:tc>
          <w:tcPr>
            <w:tcW w:w="4307" w:type="dxa"/>
          </w:tcPr>
          <w:p w14:paraId="49B696FB" w14:textId="2C53D4E1" w:rsidR="004F0E70" w:rsidRPr="005B3E2C" w:rsidRDefault="00AC4312" w:rsidP="001677F2">
            <w:pPr>
              <w:ind w:left="170"/>
              <w:jc w:val="both"/>
              <w:rPr>
                <w:rFonts w:ascii="Arial" w:hAnsi="Arial" w:cs="Arial"/>
                <w:b/>
                <w:sz w:val="22"/>
                <w:szCs w:val="22"/>
                <w:lang w:val="eu-ES"/>
              </w:rPr>
            </w:pPr>
            <w:r w:rsidRPr="005B3E2C">
              <w:rPr>
                <w:rFonts w:ascii="Arial" w:hAnsi="Arial" w:cs="Arial"/>
                <w:b/>
                <w:bCs/>
                <w:sz w:val="22"/>
                <w:szCs w:val="22"/>
                <w:lang w:val="eu-ES"/>
              </w:rPr>
              <w:t>HASIERAKO</w:t>
            </w:r>
            <w:r w:rsidR="00F25B9F" w:rsidRPr="005B3E2C">
              <w:rPr>
                <w:rFonts w:ascii="Arial" w:hAnsi="Arial" w:cs="Arial"/>
                <w:b/>
                <w:bCs/>
                <w:sz w:val="22"/>
                <w:szCs w:val="22"/>
                <w:lang w:val="eu-ES"/>
              </w:rPr>
              <w:t xml:space="preserve"> AGINDUA, LEHENDAKARIARENA, ZEINAREN BIDEZ AGINTZEN BAITA HASIERA EMATEA EUSKADI 2030 TOKIKO AGENDA ETA BERRIKUNTZA SOZIALAREN FOROA SORTZEKO ETA ARAUTZEKO DEKRETU-PROIEKTUA EGITEKO PROZEDURARI.</w:t>
            </w:r>
          </w:p>
          <w:p w14:paraId="7CCAEC1A" w14:textId="77777777" w:rsidR="004F0E70" w:rsidRPr="005B3E2C" w:rsidRDefault="004F0E70" w:rsidP="001677F2">
            <w:pPr>
              <w:ind w:left="170"/>
              <w:jc w:val="both"/>
              <w:rPr>
                <w:rFonts w:ascii="Arial" w:hAnsi="Arial" w:cs="Arial"/>
                <w:b/>
                <w:sz w:val="22"/>
                <w:szCs w:val="22"/>
                <w:u w:val="single"/>
                <w:lang w:val="eu-ES"/>
              </w:rPr>
            </w:pPr>
          </w:p>
          <w:p w14:paraId="0FD0A83F" w14:textId="7C44628E" w:rsidR="004F0E70" w:rsidRPr="005B3E2C" w:rsidRDefault="0079131C" w:rsidP="001677F2">
            <w:pPr>
              <w:autoSpaceDE w:val="0"/>
              <w:autoSpaceDN w:val="0"/>
              <w:adjustRightInd w:val="0"/>
              <w:jc w:val="both"/>
              <w:rPr>
                <w:sz w:val="22"/>
                <w:szCs w:val="22"/>
                <w:lang w:val="eu-ES"/>
              </w:rPr>
            </w:pPr>
            <w:r w:rsidRPr="005B3E2C">
              <w:rPr>
                <w:sz w:val="22"/>
                <w:szCs w:val="22"/>
                <w:lang w:val="eu-ES"/>
              </w:rPr>
              <w:t xml:space="preserve">XIII. legegintzaldia hasi eta lehendakariaren ekainaren 23ko 18/2024 Dekretua indarrean jarri ondoren (18/2024 Dekretua, ekainaren 23koa, </w:t>
            </w:r>
            <w:r w:rsidR="00883365" w:rsidRPr="005B3E2C">
              <w:rPr>
                <w:sz w:val="22"/>
                <w:szCs w:val="22"/>
                <w:lang w:val="eu-ES"/>
              </w:rPr>
              <w:t>L</w:t>
            </w:r>
            <w:r w:rsidRPr="005B3E2C">
              <w:rPr>
                <w:sz w:val="22"/>
                <w:szCs w:val="22"/>
                <w:lang w:val="eu-ES"/>
              </w:rPr>
              <w:t>ehendakariarena, Euskal Autonomia Erkidegoaren Administrazioko sailak sortu, ezabatu eta aldatzen dituena eta sail bakoitzaren egitekoak eta jardun-arloak finkatzen dituena), Euskal Autonomia Erkidegoko Administrazioaren sailen egitura berrantolatu zen.</w:t>
            </w:r>
          </w:p>
        </w:tc>
      </w:tr>
      <w:tr w:rsidR="004F0E70" w:rsidRPr="005B3E2C" w14:paraId="7433A4FB" w14:textId="77777777" w:rsidTr="001677F2">
        <w:tc>
          <w:tcPr>
            <w:tcW w:w="4307" w:type="dxa"/>
          </w:tcPr>
          <w:p w14:paraId="090C4C76" w14:textId="77777777" w:rsidR="004F0E70" w:rsidRPr="005B3E2C" w:rsidRDefault="004F0E70" w:rsidP="001677F2">
            <w:pPr>
              <w:autoSpaceDE w:val="0"/>
              <w:autoSpaceDN w:val="0"/>
              <w:adjustRightInd w:val="0"/>
              <w:ind w:left="170"/>
              <w:jc w:val="both"/>
              <w:rPr>
                <w:sz w:val="22"/>
                <w:szCs w:val="22"/>
                <w:lang w:val="eu-ES"/>
              </w:rPr>
            </w:pPr>
          </w:p>
          <w:p w14:paraId="5D0869E5" w14:textId="14E9B764" w:rsidR="004F0E70" w:rsidRPr="005B3E2C" w:rsidRDefault="002E1E82" w:rsidP="002E1E82">
            <w:pPr>
              <w:autoSpaceDE w:val="0"/>
              <w:autoSpaceDN w:val="0"/>
              <w:adjustRightInd w:val="0"/>
              <w:jc w:val="both"/>
              <w:rPr>
                <w:sz w:val="22"/>
                <w:szCs w:val="22"/>
                <w:lang w:val="eu-ES"/>
              </w:rPr>
            </w:pPr>
            <w:r w:rsidRPr="005B3E2C">
              <w:rPr>
                <w:sz w:val="22"/>
                <w:szCs w:val="22"/>
                <w:lang w:val="eu-ES"/>
              </w:rPr>
              <w:t xml:space="preserve">Trantsizio Sozialaren eta 2030 Agendaren Idazkaritza Nagusiaren sorrerak agerian utzi du eragile anitzeko foro bat eratu behar dela, </w:t>
            </w:r>
            <w:proofErr w:type="spellStart"/>
            <w:r w:rsidRPr="005B3E2C">
              <w:rPr>
                <w:sz w:val="22"/>
                <w:szCs w:val="22"/>
                <w:lang w:val="eu-ES"/>
              </w:rPr>
              <w:t>sailarteko</w:t>
            </w:r>
            <w:proofErr w:type="spellEnd"/>
            <w:r w:rsidRPr="005B3E2C">
              <w:rPr>
                <w:sz w:val="22"/>
                <w:szCs w:val="22"/>
                <w:lang w:val="eu-ES"/>
              </w:rPr>
              <w:t xml:space="preserve"> eta </w:t>
            </w:r>
            <w:proofErr w:type="spellStart"/>
            <w:r w:rsidRPr="005B3E2C">
              <w:rPr>
                <w:sz w:val="22"/>
                <w:szCs w:val="22"/>
                <w:lang w:val="eu-ES"/>
              </w:rPr>
              <w:t>erakundearteko</w:t>
            </w:r>
            <w:proofErr w:type="spellEnd"/>
            <w:r w:rsidRPr="005B3E2C">
              <w:rPr>
                <w:sz w:val="22"/>
                <w:szCs w:val="22"/>
                <w:lang w:val="eu-ES"/>
              </w:rPr>
              <w:t xml:space="preserve"> gobernantza-mekanismoak ezarri ahal izateko, sektore publiko, pribatu eta sozialen lankidetza eta parte-hartzea bultzatzeko. Gainera, XIII. legegintzaldiak berretsi egiten du 2030 Agendarekin duen konpromisoa 2024-2027 aldirako Gobernu Programan, eta berriro txertatzen ditu </w:t>
            </w:r>
            <w:proofErr w:type="spellStart"/>
            <w:r w:rsidRPr="005B3E2C">
              <w:rPr>
                <w:sz w:val="22"/>
                <w:szCs w:val="22"/>
                <w:lang w:val="eu-ES"/>
              </w:rPr>
              <w:t>GJHak</w:t>
            </w:r>
            <w:proofErr w:type="spellEnd"/>
            <w:r w:rsidRPr="005B3E2C">
              <w:rPr>
                <w:sz w:val="22"/>
                <w:szCs w:val="22"/>
                <w:lang w:val="eu-ES"/>
              </w:rPr>
              <w:t xml:space="preserve"> Euskal Agendaren lehentasun gisa eta ekintza publikoaren funtsezko ardatz gisa. Horregatik, dekretu bidez sustatzen da Berrikuntza Sozialaren eta 2030 Agendaren Foroa – Euskadi </w:t>
            </w:r>
            <w:proofErr w:type="spellStart"/>
            <w:r w:rsidRPr="005B3E2C">
              <w:rPr>
                <w:sz w:val="22"/>
                <w:szCs w:val="22"/>
                <w:lang w:val="eu-ES"/>
              </w:rPr>
              <w:t>Local</w:t>
            </w:r>
            <w:proofErr w:type="spellEnd"/>
            <w:r w:rsidRPr="005B3E2C">
              <w:rPr>
                <w:sz w:val="22"/>
                <w:szCs w:val="22"/>
                <w:lang w:val="eu-ES"/>
              </w:rPr>
              <w:t xml:space="preserve"> 2030 HUB.</w:t>
            </w:r>
          </w:p>
          <w:p w14:paraId="6D779803" w14:textId="77777777" w:rsidR="006D08C6" w:rsidRPr="005B3E2C" w:rsidRDefault="006D08C6" w:rsidP="006D08C6">
            <w:pPr>
              <w:autoSpaceDE w:val="0"/>
              <w:autoSpaceDN w:val="0"/>
              <w:adjustRightInd w:val="0"/>
              <w:jc w:val="both"/>
              <w:rPr>
                <w:sz w:val="22"/>
                <w:szCs w:val="22"/>
                <w:lang w:val="eu-ES"/>
              </w:rPr>
            </w:pPr>
          </w:p>
          <w:p w14:paraId="19631FEA" w14:textId="30B6BCD9" w:rsidR="006D08C6" w:rsidRDefault="006D08C6" w:rsidP="006D08C6">
            <w:pPr>
              <w:autoSpaceDE w:val="0"/>
              <w:autoSpaceDN w:val="0"/>
              <w:adjustRightInd w:val="0"/>
              <w:jc w:val="both"/>
              <w:rPr>
                <w:sz w:val="22"/>
                <w:szCs w:val="22"/>
                <w:lang w:val="eu-ES"/>
              </w:rPr>
            </w:pPr>
            <w:r w:rsidRPr="006D08C6">
              <w:rPr>
                <w:sz w:val="22"/>
                <w:szCs w:val="22"/>
                <w:lang w:val="eu-ES"/>
              </w:rPr>
              <w:t>Dekretu hori egiteko prozedura Xedapen Orokorrak Egiteko Prozeduraren ekainaren 30eko 6/2022 Legean ezarritakora egokitu beharko da, eta beharrezkotzat jotzen diren izapideak eta txostenak bete beharko ditu.</w:t>
            </w:r>
          </w:p>
          <w:p w14:paraId="53018309" w14:textId="77777777" w:rsidR="00946321" w:rsidRDefault="00946321" w:rsidP="006D08C6">
            <w:pPr>
              <w:autoSpaceDE w:val="0"/>
              <w:autoSpaceDN w:val="0"/>
              <w:adjustRightInd w:val="0"/>
              <w:jc w:val="both"/>
              <w:rPr>
                <w:sz w:val="22"/>
                <w:szCs w:val="22"/>
                <w:lang w:val="eu-ES"/>
              </w:rPr>
            </w:pPr>
          </w:p>
          <w:p w14:paraId="13F42BDA" w14:textId="3F0FACC2" w:rsidR="00946321" w:rsidRPr="00074E0C" w:rsidRDefault="00EB185D" w:rsidP="006D08C6">
            <w:pPr>
              <w:autoSpaceDE w:val="0"/>
              <w:autoSpaceDN w:val="0"/>
              <w:adjustRightInd w:val="0"/>
              <w:jc w:val="both"/>
              <w:rPr>
                <w:sz w:val="22"/>
                <w:szCs w:val="22"/>
                <w:lang w:val="es-ES"/>
              </w:rPr>
            </w:pPr>
            <w:r w:rsidRPr="00EB185D">
              <w:rPr>
                <w:sz w:val="22"/>
                <w:szCs w:val="22"/>
                <w:lang w:val="eu-ES"/>
              </w:rPr>
              <w:t xml:space="preserve">Lege horren 12.1 artikuluak adierazten du xedapen orokorrak egiteko prozedura </w:t>
            </w:r>
            <w:r w:rsidR="00A21B7A" w:rsidRPr="00EB185D">
              <w:rPr>
                <w:sz w:val="22"/>
                <w:szCs w:val="22"/>
                <w:lang w:val="eu-ES"/>
              </w:rPr>
              <w:t>saileko sailburuaren aginduz hasiko dela</w:t>
            </w:r>
            <w:r w:rsidR="00A21B7A">
              <w:rPr>
                <w:sz w:val="22"/>
                <w:szCs w:val="22"/>
                <w:lang w:val="eu-ES"/>
              </w:rPr>
              <w:t>,</w:t>
            </w:r>
            <w:r w:rsidR="00A21B7A" w:rsidRPr="00EB185D">
              <w:rPr>
                <w:sz w:val="22"/>
                <w:szCs w:val="22"/>
                <w:lang w:val="eu-ES"/>
              </w:rPr>
              <w:t xml:space="preserve"> </w:t>
            </w:r>
            <w:r w:rsidRPr="00EB185D">
              <w:rPr>
                <w:sz w:val="22"/>
                <w:szCs w:val="22"/>
                <w:lang w:val="eu-ES"/>
              </w:rPr>
              <w:t xml:space="preserve">xedapen horien </w:t>
            </w:r>
            <w:r w:rsidR="00A21B7A">
              <w:rPr>
                <w:sz w:val="22"/>
                <w:szCs w:val="22"/>
                <w:lang w:val="eu-ES"/>
              </w:rPr>
              <w:t>eskumena izateagatik</w:t>
            </w:r>
            <w:r w:rsidRPr="00EB185D">
              <w:rPr>
                <w:sz w:val="22"/>
                <w:szCs w:val="22"/>
                <w:lang w:val="eu-ES"/>
              </w:rPr>
              <w:t xml:space="preserve">. </w:t>
            </w:r>
            <w:proofErr w:type="spellStart"/>
            <w:r w:rsidRPr="00EB185D">
              <w:rPr>
                <w:sz w:val="22"/>
                <w:szCs w:val="22"/>
              </w:rPr>
              <w:t>Kasu</w:t>
            </w:r>
            <w:proofErr w:type="spellEnd"/>
            <w:r w:rsidRPr="00EB185D">
              <w:rPr>
                <w:sz w:val="22"/>
                <w:szCs w:val="22"/>
              </w:rPr>
              <w:t xml:space="preserve"> </w:t>
            </w:r>
            <w:proofErr w:type="spellStart"/>
            <w:r w:rsidRPr="00EB185D">
              <w:rPr>
                <w:sz w:val="22"/>
                <w:szCs w:val="22"/>
              </w:rPr>
              <w:t>honetan</w:t>
            </w:r>
            <w:proofErr w:type="spellEnd"/>
            <w:r w:rsidRPr="00EB185D">
              <w:rPr>
                <w:sz w:val="22"/>
                <w:szCs w:val="22"/>
              </w:rPr>
              <w:t xml:space="preserve">, </w:t>
            </w:r>
            <w:proofErr w:type="spellStart"/>
            <w:r w:rsidRPr="00EB185D">
              <w:rPr>
                <w:sz w:val="22"/>
                <w:szCs w:val="22"/>
              </w:rPr>
              <w:t>dekretua</w:t>
            </w:r>
            <w:proofErr w:type="spellEnd"/>
            <w:r w:rsidRPr="00EB185D">
              <w:rPr>
                <w:sz w:val="22"/>
                <w:szCs w:val="22"/>
              </w:rPr>
              <w:t xml:space="preserve"> </w:t>
            </w:r>
            <w:proofErr w:type="spellStart"/>
            <w:r w:rsidRPr="00EB185D">
              <w:rPr>
                <w:sz w:val="22"/>
                <w:szCs w:val="22"/>
              </w:rPr>
              <w:t>hasteko</w:t>
            </w:r>
            <w:proofErr w:type="spellEnd"/>
            <w:r w:rsidRPr="00EB185D">
              <w:rPr>
                <w:sz w:val="22"/>
                <w:szCs w:val="22"/>
              </w:rPr>
              <w:t xml:space="preserve"> </w:t>
            </w:r>
            <w:proofErr w:type="spellStart"/>
            <w:r w:rsidRPr="00EB185D">
              <w:rPr>
                <w:sz w:val="22"/>
                <w:szCs w:val="22"/>
              </w:rPr>
              <w:t>agindua</w:t>
            </w:r>
            <w:proofErr w:type="spellEnd"/>
            <w:r w:rsidRPr="00EB185D">
              <w:rPr>
                <w:sz w:val="22"/>
                <w:szCs w:val="22"/>
              </w:rPr>
              <w:t xml:space="preserve"> </w:t>
            </w:r>
            <w:proofErr w:type="spellStart"/>
            <w:r w:rsidRPr="00EB185D">
              <w:rPr>
                <w:sz w:val="22"/>
                <w:szCs w:val="22"/>
              </w:rPr>
              <w:t>emateko</w:t>
            </w:r>
            <w:proofErr w:type="spellEnd"/>
            <w:r w:rsidRPr="00EB185D">
              <w:rPr>
                <w:sz w:val="22"/>
                <w:szCs w:val="22"/>
              </w:rPr>
              <w:t xml:space="preserve"> </w:t>
            </w:r>
            <w:proofErr w:type="spellStart"/>
            <w:r w:rsidRPr="00EB185D">
              <w:rPr>
                <w:sz w:val="22"/>
                <w:szCs w:val="22"/>
              </w:rPr>
              <w:t>eskumena</w:t>
            </w:r>
            <w:proofErr w:type="spellEnd"/>
            <w:r w:rsidRPr="00EB185D">
              <w:rPr>
                <w:sz w:val="22"/>
                <w:szCs w:val="22"/>
              </w:rPr>
              <w:t xml:space="preserve"> </w:t>
            </w:r>
            <w:proofErr w:type="spellStart"/>
            <w:r w:rsidRPr="00EB185D">
              <w:rPr>
                <w:sz w:val="22"/>
                <w:szCs w:val="22"/>
              </w:rPr>
              <w:t>lehendakariari</w:t>
            </w:r>
            <w:proofErr w:type="spellEnd"/>
            <w:r w:rsidRPr="00EB185D">
              <w:rPr>
                <w:sz w:val="22"/>
                <w:szCs w:val="22"/>
              </w:rPr>
              <w:t xml:space="preserve"> </w:t>
            </w:r>
            <w:proofErr w:type="spellStart"/>
            <w:r w:rsidRPr="00EB185D">
              <w:rPr>
                <w:sz w:val="22"/>
                <w:szCs w:val="22"/>
              </w:rPr>
              <w:t>dagokio</w:t>
            </w:r>
            <w:proofErr w:type="spellEnd"/>
            <w:r w:rsidRPr="00EB185D">
              <w:rPr>
                <w:sz w:val="22"/>
                <w:szCs w:val="22"/>
              </w:rPr>
              <w:t xml:space="preserve">, </w:t>
            </w:r>
            <w:proofErr w:type="spellStart"/>
            <w:r w:rsidRPr="00EB185D">
              <w:rPr>
                <w:sz w:val="22"/>
                <w:szCs w:val="22"/>
              </w:rPr>
              <w:t>bera</w:t>
            </w:r>
            <w:proofErr w:type="spellEnd"/>
            <w:r w:rsidRPr="00EB185D">
              <w:rPr>
                <w:sz w:val="22"/>
                <w:szCs w:val="22"/>
              </w:rPr>
              <w:t xml:space="preserve"> baita </w:t>
            </w:r>
            <w:proofErr w:type="spellStart"/>
            <w:r w:rsidRPr="00EB185D">
              <w:rPr>
                <w:sz w:val="22"/>
                <w:szCs w:val="22"/>
              </w:rPr>
              <w:t>sailaren</w:t>
            </w:r>
            <w:proofErr w:type="spellEnd"/>
            <w:r w:rsidRPr="00EB185D">
              <w:rPr>
                <w:sz w:val="22"/>
                <w:szCs w:val="22"/>
              </w:rPr>
              <w:t xml:space="preserve"> </w:t>
            </w:r>
            <w:proofErr w:type="spellStart"/>
            <w:r w:rsidRPr="00EB185D">
              <w:rPr>
                <w:sz w:val="22"/>
                <w:szCs w:val="22"/>
              </w:rPr>
              <w:t>titularra</w:t>
            </w:r>
            <w:proofErr w:type="spellEnd"/>
            <w:r w:rsidRPr="00EB185D">
              <w:rPr>
                <w:sz w:val="22"/>
                <w:szCs w:val="22"/>
              </w:rPr>
              <w:t>.</w:t>
            </w:r>
            <w:r w:rsidRPr="00EB185D">
              <w:rPr>
                <w:sz w:val="22"/>
                <w:szCs w:val="22"/>
              </w:rPr>
              <w:br/>
            </w:r>
            <w:r w:rsidRPr="00EB185D">
              <w:rPr>
                <w:sz w:val="22"/>
                <w:szCs w:val="22"/>
              </w:rPr>
              <w:br/>
            </w:r>
            <w:proofErr w:type="spellStart"/>
            <w:r w:rsidRPr="00EB185D">
              <w:rPr>
                <w:sz w:val="22"/>
                <w:szCs w:val="22"/>
              </w:rPr>
              <w:t>Esparru</w:t>
            </w:r>
            <w:proofErr w:type="spellEnd"/>
            <w:r w:rsidRPr="00EB185D">
              <w:rPr>
                <w:sz w:val="22"/>
                <w:szCs w:val="22"/>
              </w:rPr>
              <w:t xml:space="preserve"> </w:t>
            </w:r>
            <w:proofErr w:type="spellStart"/>
            <w:r w:rsidRPr="00EB185D">
              <w:rPr>
                <w:sz w:val="22"/>
                <w:szCs w:val="22"/>
              </w:rPr>
              <w:t>horretan</w:t>
            </w:r>
            <w:proofErr w:type="spellEnd"/>
            <w:r w:rsidRPr="00EB185D">
              <w:rPr>
                <w:sz w:val="22"/>
                <w:szCs w:val="22"/>
              </w:rPr>
              <w:t xml:space="preserve">, eta </w:t>
            </w:r>
            <w:proofErr w:type="spellStart"/>
            <w:r w:rsidRPr="00EB185D">
              <w:rPr>
                <w:sz w:val="22"/>
                <w:szCs w:val="22"/>
              </w:rPr>
              <w:t>hasteko</w:t>
            </w:r>
            <w:proofErr w:type="spellEnd"/>
            <w:r w:rsidRPr="00EB185D">
              <w:rPr>
                <w:sz w:val="22"/>
                <w:szCs w:val="22"/>
              </w:rPr>
              <w:t xml:space="preserve"> </w:t>
            </w:r>
            <w:proofErr w:type="spellStart"/>
            <w:r w:rsidRPr="00EB185D">
              <w:rPr>
                <w:sz w:val="22"/>
                <w:szCs w:val="22"/>
              </w:rPr>
              <w:t>dekretuak</w:t>
            </w:r>
            <w:proofErr w:type="spellEnd"/>
            <w:r w:rsidRPr="00EB185D">
              <w:rPr>
                <w:sz w:val="22"/>
                <w:szCs w:val="22"/>
              </w:rPr>
              <w:t xml:space="preserve"> izan </w:t>
            </w:r>
            <w:proofErr w:type="spellStart"/>
            <w:r w:rsidRPr="00EB185D">
              <w:rPr>
                <w:sz w:val="22"/>
                <w:szCs w:val="22"/>
              </w:rPr>
              <w:t>behar</w:t>
            </w:r>
            <w:proofErr w:type="spellEnd"/>
            <w:r w:rsidRPr="00EB185D">
              <w:rPr>
                <w:sz w:val="22"/>
                <w:szCs w:val="22"/>
              </w:rPr>
              <w:t xml:space="preserve"> </w:t>
            </w:r>
            <w:proofErr w:type="spellStart"/>
            <w:r w:rsidRPr="00EB185D">
              <w:rPr>
                <w:sz w:val="22"/>
                <w:szCs w:val="22"/>
              </w:rPr>
              <w:t>duen</w:t>
            </w:r>
            <w:proofErr w:type="spellEnd"/>
            <w:r w:rsidRPr="00EB185D">
              <w:rPr>
                <w:sz w:val="22"/>
                <w:szCs w:val="22"/>
              </w:rPr>
              <w:t xml:space="preserve"> </w:t>
            </w:r>
            <w:proofErr w:type="spellStart"/>
            <w:r w:rsidRPr="00EB185D">
              <w:rPr>
                <w:sz w:val="22"/>
                <w:szCs w:val="22"/>
              </w:rPr>
              <w:t>edukia</w:t>
            </w:r>
            <w:proofErr w:type="spellEnd"/>
            <w:r w:rsidRPr="00EB185D">
              <w:rPr>
                <w:sz w:val="22"/>
                <w:szCs w:val="22"/>
              </w:rPr>
              <w:t xml:space="preserve"> </w:t>
            </w:r>
            <w:proofErr w:type="spellStart"/>
            <w:r w:rsidRPr="00EB185D">
              <w:rPr>
                <w:sz w:val="22"/>
                <w:szCs w:val="22"/>
              </w:rPr>
              <w:t>oinarri</w:t>
            </w:r>
            <w:proofErr w:type="spellEnd"/>
            <w:r w:rsidRPr="00EB185D">
              <w:rPr>
                <w:sz w:val="22"/>
                <w:szCs w:val="22"/>
              </w:rPr>
              <w:t xml:space="preserve"> </w:t>
            </w:r>
            <w:proofErr w:type="spellStart"/>
            <w:r w:rsidRPr="00EB185D">
              <w:rPr>
                <w:sz w:val="22"/>
                <w:szCs w:val="22"/>
              </w:rPr>
              <w:t>hartuta</w:t>
            </w:r>
            <w:proofErr w:type="spellEnd"/>
            <w:r w:rsidRPr="00EB185D">
              <w:rPr>
                <w:sz w:val="22"/>
                <w:szCs w:val="22"/>
              </w:rPr>
              <w:t xml:space="preserve">, </w:t>
            </w:r>
            <w:proofErr w:type="spellStart"/>
            <w:r w:rsidRPr="00EB185D">
              <w:rPr>
                <w:sz w:val="22"/>
                <w:szCs w:val="22"/>
              </w:rPr>
              <w:t>dekretu</w:t>
            </w:r>
            <w:proofErr w:type="spellEnd"/>
            <w:r w:rsidRPr="00EB185D">
              <w:rPr>
                <w:sz w:val="22"/>
                <w:szCs w:val="22"/>
              </w:rPr>
              <w:t xml:space="preserve"> </w:t>
            </w:r>
            <w:proofErr w:type="spellStart"/>
            <w:r w:rsidRPr="00EB185D">
              <w:rPr>
                <w:sz w:val="22"/>
                <w:szCs w:val="22"/>
              </w:rPr>
              <w:t>honen</w:t>
            </w:r>
            <w:proofErr w:type="spellEnd"/>
            <w:r w:rsidRPr="00EB185D">
              <w:rPr>
                <w:sz w:val="22"/>
                <w:szCs w:val="22"/>
              </w:rPr>
              <w:t xml:space="preserve"> </w:t>
            </w:r>
            <w:proofErr w:type="spellStart"/>
            <w:r w:rsidRPr="00EB185D">
              <w:rPr>
                <w:sz w:val="22"/>
                <w:szCs w:val="22"/>
              </w:rPr>
              <w:t>bitarteko</w:t>
            </w:r>
            <w:proofErr w:type="spellEnd"/>
            <w:r w:rsidRPr="00EB185D">
              <w:rPr>
                <w:sz w:val="22"/>
                <w:szCs w:val="22"/>
              </w:rPr>
              <w:t xml:space="preserve"> </w:t>
            </w:r>
            <w:proofErr w:type="spellStart"/>
            <w:r w:rsidRPr="00EB185D">
              <w:rPr>
                <w:sz w:val="22"/>
                <w:szCs w:val="22"/>
              </w:rPr>
              <w:t>ekainaren</w:t>
            </w:r>
            <w:proofErr w:type="spellEnd"/>
            <w:r w:rsidRPr="00EB185D">
              <w:rPr>
                <w:sz w:val="22"/>
                <w:szCs w:val="22"/>
              </w:rPr>
              <w:t xml:space="preserve"> 30eko 6/2022 </w:t>
            </w:r>
            <w:proofErr w:type="spellStart"/>
            <w:r w:rsidRPr="00EB185D">
              <w:rPr>
                <w:sz w:val="22"/>
                <w:szCs w:val="22"/>
              </w:rPr>
              <w:t>Legearen</w:t>
            </w:r>
            <w:proofErr w:type="spellEnd"/>
            <w:r w:rsidRPr="00EB185D">
              <w:rPr>
                <w:sz w:val="22"/>
                <w:szCs w:val="22"/>
              </w:rPr>
              <w:t xml:space="preserve"> 13. </w:t>
            </w:r>
            <w:proofErr w:type="spellStart"/>
            <w:r w:rsidRPr="00EB185D">
              <w:rPr>
                <w:sz w:val="22"/>
                <w:szCs w:val="22"/>
              </w:rPr>
              <w:t>artikuluaren</w:t>
            </w:r>
            <w:proofErr w:type="spellEnd"/>
            <w:r w:rsidRPr="00EB185D">
              <w:rPr>
                <w:sz w:val="22"/>
                <w:szCs w:val="22"/>
              </w:rPr>
              <w:t xml:space="preserve"> </w:t>
            </w:r>
            <w:proofErr w:type="spellStart"/>
            <w:r w:rsidRPr="00EB185D">
              <w:rPr>
                <w:sz w:val="22"/>
                <w:szCs w:val="22"/>
              </w:rPr>
              <w:t>arabera</w:t>
            </w:r>
            <w:proofErr w:type="spellEnd"/>
            <w:r w:rsidRPr="00EB185D">
              <w:rPr>
                <w:sz w:val="22"/>
                <w:szCs w:val="22"/>
              </w:rPr>
              <w:t xml:space="preserve">, Euskadi </w:t>
            </w:r>
            <w:proofErr w:type="spellStart"/>
            <w:r w:rsidRPr="00EB185D">
              <w:rPr>
                <w:sz w:val="22"/>
                <w:szCs w:val="22"/>
              </w:rPr>
              <w:t>Tokiko</w:t>
            </w:r>
            <w:proofErr w:type="spellEnd"/>
            <w:r w:rsidRPr="00EB185D">
              <w:rPr>
                <w:sz w:val="22"/>
                <w:szCs w:val="22"/>
              </w:rPr>
              <w:t xml:space="preserve"> 2030 HUB </w:t>
            </w:r>
            <w:proofErr w:type="spellStart"/>
            <w:r w:rsidRPr="00EB185D">
              <w:rPr>
                <w:sz w:val="22"/>
                <w:szCs w:val="22"/>
              </w:rPr>
              <w:t>Gizarte</w:t>
            </w:r>
            <w:proofErr w:type="spellEnd"/>
            <w:r w:rsidRPr="00EB185D">
              <w:rPr>
                <w:sz w:val="22"/>
                <w:szCs w:val="22"/>
              </w:rPr>
              <w:t xml:space="preserve"> </w:t>
            </w:r>
            <w:proofErr w:type="spellStart"/>
            <w:r w:rsidRPr="00EB185D">
              <w:rPr>
                <w:sz w:val="22"/>
                <w:szCs w:val="22"/>
              </w:rPr>
              <w:t>Berrikuntzarako</w:t>
            </w:r>
            <w:proofErr w:type="spellEnd"/>
            <w:r w:rsidRPr="00EB185D">
              <w:rPr>
                <w:sz w:val="22"/>
                <w:szCs w:val="22"/>
              </w:rPr>
              <w:t xml:space="preserve"> </w:t>
            </w:r>
            <w:proofErr w:type="spellStart"/>
            <w:r w:rsidRPr="00EB185D">
              <w:rPr>
                <w:sz w:val="22"/>
                <w:szCs w:val="22"/>
              </w:rPr>
              <w:t>Foroa</w:t>
            </w:r>
            <w:proofErr w:type="spellEnd"/>
            <w:r w:rsidRPr="00EB185D">
              <w:rPr>
                <w:sz w:val="22"/>
                <w:szCs w:val="22"/>
              </w:rPr>
              <w:t xml:space="preserve"> eta 2030 Agenda </w:t>
            </w:r>
            <w:proofErr w:type="spellStart"/>
            <w:r w:rsidRPr="00EB185D">
              <w:rPr>
                <w:sz w:val="22"/>
                <w:szCs w:val="22"/>
              </w:rPr>
              <w:t>sortu</w:t>
            </w:r>
            <w:proofErr w:type="spellEnd"/>
            <w:r w:rsidRPr="00EB185D">
              <w:rPr>
                <w:sz w:val="22"/>
                <w:szCs w:val="22"/>
              </w:rPr>
              <w:t xml:space="preserve"> eta </w:t>
            </w:r>
            <w:proofErr w:type="spellStart"/>
            <w:r w:rsidRPr="00EB185D">
              <w:rPr>
                <w:sz w:val="22"/>
                <w:szCs w:val="22"/>
              </w:rPr>
              <w:t>arautzeko</w:t>
            </w:r>
            <w:proofErr w:type="spellEnd"/>
            <w:r w:rsidRPr="00EB185D">
              <w:rPr>
                <w:sz w:val="22"/>
                <w:szCs w:val="22"/>
              </w:rPr>
              <w:t xml:space="preserve"> </w:t>
            </w:r>
            <w:proofErr w:type="spellStart"/>
            <w:r w:rsidRPr="00EB185D">
              <w:rPr>
                <w:sz w:val="22"/>
                <w:szCs w:val="22"/>
              </w:rPr>
              <w:t>dekretua</w:t>
            </w:r>
            <w:proofErr w:type="spellEnd"/>
            <w:r w:rsidRPr="00EB185D">
              <w:rPr>
                <w:sz w:val="22"/>
                <w:szCs w:val="22"/>
              </w:rPr>
              <w:t xml:space="preserve"> </w:t>
            </w:r>
            <w:proofErr w:type="spellStart"/>
            <w:r w:rsidRPr="00EB185D">
              <w:rPr>
                <w:sz w:val="22"/>
                <w:szCs w:val="22"/>
              </w:rPr>
              <w:t>egiteko</w:t>
            </w:r>
            <w:proofErr w:type="spellEnd"/>
            <w:r w:rsidRPr="00EB185D">
              <w:rPr>
                <w:sz w:val="22"/>
                <w:szCs w:val="22"/>
              </w:rPr>
              <w:t xml:space="preserve"> </w:t>
            </w:r>
            <w:proofErr w:type="spellStart"/>
            <w:r w:rsidRPr="00EB185D">
              <w:rPr>
                <w:sz w:val="22"/>
                <w:szCs w:val="22"/>
              </w:rPr>
              <w:t>behar</w:t>
            </w:r>
            <w:proofErr w:type="spellEnd"/>
            <w:r w:rsidRPr="00EB185D">
              <w:rPr>
                <w:sz w:val="22"/>
                <w:szCs w:val="22"/>
              </w:rPr>
              <w:t xml:space="preserve"> den </w:t>
            </w:r>
            <w:proofErr w:type="spellStart"/>
            <w:r w:rsidRPr="00EB185D">
              <w:rPr>
                <w:sz w:val="22"/>
                <w:szCs w:val="22"/>
              </w:rPr>
              <w:t>administrazio-prozedurari</w:t>
            </w:r>
            <w:proofErr w:type="spellEnd"/>
            <w:r w:rsidRPr="00EB185D">
              <w:rPr>
                <w:sz w:val="22"/>
                <w:szCs w:val="22"/>
              </w:rPr>
              <w:t xml:space="preserve"> </w:t>
            </w:r>
            <w:proofErr w:type="spellStart"/>
            <w:r w:rsidRPr="00EB185D">
              <w:rPr>
                <w:sz w:val="22"/>
                <w:szCs w:val="22"/>
              </w:rPr>
              <w:t>hasiera</w:t>
            </w:r>
            <w:proofErr w:type="spellEnd"/>
            <w:r w:rsidRPr="00EB185D">
              <w:rPr>
                <w:sz w:val="22"/>
                <w:szCs w:val="22"/>
              </w:rPr>
              <w:t xml:space="preserve"> </w:t>
            </w:r>
            <w:proofErr w:type="spellStart"/>
            <w:r w:rsidRPr="00EB185D">
              <w:rPr>
                <w:sz w:val="22"/>
                <w:szCs w:val="22"/>
              </w:rPr>
              <w:t>ematen</w:t>
            </w:r>
            <w:proofErr w:type="spellEnd"/>
            <w:r w:rsidRPr="00EB185D">
              <w:rPr>
                <w:sz w:val="22"/>
                <w:szCs w:val="22"/>
              </w:rPr>
              <w:t xml:space="preserve"> </w:t>
            </w:r>
            <w:proofErr w:type="spellStart"/>
            <w:r w:rsidRPr="00EB185D">
              <w:rPr>
                <w:sz w:val="22"/>
                <w:szCs w:val="22"/>
              </w:rPr>
              <w:t>zaio</w:t>
            </w:r>
            <w:proofErr w:type="spellEnd"/>
            <w:r w:rsidRPr="00EB185D">
              <w:rPr>
                <w:sz w:val="22"/>
                <w:szCs w:val="22"/>
              </w:rPr>
              <w:t>.</w:t>
            </w:r>
          </w:p>
          <w:p w14:paraId="155001F5" w14:textId="77777777" w:rsidR="004F0E70" w:rsidRPr="005B3E2C" w:rsidRDefault="004F0E70" w:rsidP="001677F2">
            <w:pPr>
              <w:autoSpaceDE w:val="0"/>
              <w:autoSpaceDN w:val="0"/>
              <w:adjustRightInd w:val="0"/>
              <w:ind w:left="170"/>
              <w:jc w:val="both"/>
              <w:rPr>
                <w:sz w:val="22"/>
                <w:szCs w:val="22"/>
                <w:lang w:val="eu-ES"/>
              </w:rPr>
            </w:pPr>
          </w:p>
          <w:p w14:paraId="66C8DDCC" w14:textId="77777777" w:rsidR="00946321" w:rsidRDefault="00946321" w:rsidP="001677F2">
            <w:pPr>
              <w:autoSpaceDE w:val="0"/>
              <w:autoSpaceDN w:val="0"/>
              <w:adjustRightInd w:val="0"/>
              <w:ind w:left="170"/>
              <w:jc w:val="center"/>
              <w:rPr>
                <w:sz w:val="22"/>
                <w:szCs w:val="22"/>
                <w:lang w:val="eu-ES"/>
              </w:rPr>
            </w:pPr>
          </w:p>
          <w:p w14:paraId="57506F44" w14:textId="5EB527E8" w:rsidR="004F0E70" w:rsidRPr="005B3E2C" w:rsidRDefault="00267E22" w:rsidP="001677F2">
            <w:pPr>
              <w:autoSpaceDE w:val="0"/>
              <w:autoSpaceDN w:val="0"/>
              <w:adjustRightInd w:val="0"/>
              <w:ind w:left="170"/>
              <w:jc w:val="center"/>
              <w:rPr>
                <w:sz w:val="22"/>
                <w:szCs w:val="22"/>
                <w:lang w:val="eu-ES"/>
              </w:rPr>
            </w:pPr>
            <w:r w:rsidRPr="005B3E2C">
              <w:rPr>
                <w:b/>
                <w:bCs/>
                <w:sz w:val="22"/>
                <w:szCs w:val="22"/>
                <w:lang w:val="eu-ES"/>
              </w:rPr>
              <w:t>EBAZTEN DUT</w:t>
            </w:r>
            <w:r w:rsidR="004F0E70" w:rsidRPr="005B3E2C">
              <w:rPr>
                <w:sz w:val="22"/>
                <w:szCs w:val="22"/>
                <w:lang w:val="eu-ES"/>
              </w:rPr>
              <w:t>:</w:t>
            </w:r>
          </w:p>
          <w:p w14:paraId="43C97AFD" w14:textId="77777777" w:rsidR="004F0E70" w:rsidRPr="005B3E2C" w:rsidRDefault="004F0E70" w:rsidP="001677F2">
            <w:pPr>
              <w:autoSpaceDE w:val="0"/>
              <w:autoSpaceDN w:val="0"/>
              <w:adjustRightInd w:val="0"/>
              <w:ind w:left="170"/>
              <w:jc w:val="both"/>
              <w:rPr>
                <w:sz w:val="22"/>
                <w:szCs w:val="22"/>
                <w:lang w:val="eu-ES"/>
              </w:rPr>
            </w:pPr>
          </w:p>
          <w:p w14:paraId="04CC2D0C" w14:textId="59661B44" w:rsidR="004F0E70" w:rsidRPr="005B3E2C" w:rsidRDefault="00FD7401" w:rsidP="00FD7401">
            <w:pPr>
              <w:autoSpaceDE w:val="0"/>
              <w:autoSpaceDN w:val="0"/>
              <w:adjustRightInd w:val="0"/>
              <w:jc w:val="both"/>
              <w:rPr>
                <w:sz w:val="22"/>
                <w:szCs w:val="22"/>
                <w:u w:val="single"/>
                <w:lang w:val="eu-ES"/>
              </w:rPr>
            </w:pPr>
            <w:r w:rsidRPr="005B3E2C">
              <w:rPr>
                <w:b/>
                <w:bCs/>
                <w:sz w:val="22"/>
                <w:szCs w:val="22"/>
                <w:u w:val="single"/>
                <w:lang w:val="eu-ES"/>
              </w:rPr>
              <w:t xml:space="preserve">Lehenengoa. – </w:t>
            </w:r>
            <w:r w:rsidRPr="005B3E2C">
              <w:rPr>
                <w:sz w:val="22"/>
                <w:szCs w:val="22"/>
                <w:u w:val="single"/>
                <w:lang w:val="eu-ES"/>
              </w:rPr>
              <w:t>Xedea eta helburua.</w:t>
            </w:r>
          </w:p>
          <w:p w14:paraId="16099375" w14:textId="77777777" w:rsidR="00FD7401" w:rsidRPr="005B3E2C" w:rsidRDefault="00FD7401" w:rsidP="00FD7401">
            <w:pPr>
              <w:autoSpaceDE w:val="0"/>
              <w:autoSpaceDN w:val="0"/>
              <w:adjustRightInd w:val="0"/>
              <w:jc w:val="both"/>
              <w:rPr>
                <w:sz w:val="22"/>
                <w:szCs w:val="22"/>
                <w:lang w:val="eu-ES"/>
              </w:rPr>
            </w:pPr>
          </w:p>
          <w:p w14:paraId="2B8867D7" w14:textId="73C2DF9E" w:rsidR="00FD7401" w:rsidRPr="00FD7401" w:rsidRDefault="00FD7401" w:rsidP="00FD7401">
            <w:pPr>
              <w:autoSpaceDE w:val="0"/>
              <w:autoSpaceDN w:val="0"/>
              <w:adjustRightInd w:val="0"/>
              <w:jc w:val="both"/>
              <w:rPr>
                <w:sz w:val="22"/>
                <w:szCs w:val="22"/>
                <w:lang w:val="eu-ES"/>
              </w:rPr>
            </w:pPr>
            <w:r w:rsidRPr="00FD7401">
              <w:rPr>
                <w:sz w:val="22"/>
                <w:szCs w:val="22"/>
                <w:lang w:val="eu-ES"/>
              </w:rPr>
              <w:t>Xedapenaren xedea izango da Berrikuntza Sozialaren eta 2030 Agendaren Foroa – Euskadi Tokiko Agenda 2030 sortzea eta arautzea, Euskadiko politika publikoetan 2030 Agenda harmonizatzen eta garatzen laguntzeko lankidetza- eta aholkularitza-organo gisa.</w:t>
            </w:r>
          </w:p>
          <w:p w14:paraId="28273A32" w14:textId="77777777" w:rsidR="004F0E70" w:rsidRPr="005B3E2C" w:rsidRDefault="004F0E70" w:rsidP="001677F2">
            <w:pPr>
              <w:autoSpaceDE w:val="0"/>
              <w:autoSpaceDN w:val="0"/>
              <w:adjustRightInd w:val="0"/>
              <w:ind w:left="170"/>
              <w:jc w:val="both"/>
              <w:rPr>
                <w:sz w:val="22"/>
                <w:szCs w:val="22"/>
                <w:u w:val="single"/>
                <w:lang w:val="eu-ES"/>
              </w:rPr>
            </w:pPr>
          </w:p>
          <w:p w14:paraId="6F7DE19D" w14:textId="77777777" w:rsidR="00E2648B" w:rsidRPr="005B3E2C" w:rsidRDefault="00E2648B" w:rsidP="004F0E70">
            <w:pPr>
              <w:autoSpaceDE w:val="0"/>
              <w:autoSpaceDN w:val="0"/>
              <w:adjustRightInd w:val="0"/>
              <w:spacing w:before="240"/>
              <w:jc w:val="both"/>
              <w:rPr>
                <w:b/>
                <w:bCs/>
                <w:sz w:val="22"/>
                <w:szCs w:val="22"/>
                <w:u w:val="single"/>
                <w:lang w:val="eu-ES"/>
              </w:rPr>
            </w:pPr>
            <w:r w:rsidRPr="005B3E2C">
              <w:rPr>
                <w:b/>
                <w:bCs/>
                <w:sz w:val="22"/>
                <w:szCs w:val="22"/>
                <w:u w:val="single"/>
                <w:lang w:val="eu-ES"/>
              </w:rPr>
              <w:t xml:space="preserve">Bigarrena. – </w:t>
            </w:r>
            <w:r w:rsidRPr="005B3E2C">
              <w:rPr>
                <w:sz w:val="22"/>
                <w:szCs w:val="22"/>
                <w:u w:val="single"/>
                <w:lang w:val="eu-ES"/>
              </w:rPr>
              <w:t>Bideragarritasun juridikoa eta materiala.</w:t>
            </w:r>
          </w:p>
          <w:p w14:paraId="4D5E763D" w14:textId="77777777" w:rsidR="0027725B" w:rsidRDefault="00707F58" w:rsidP="004F0E70">
            <w:pPr>
              <w:autoSpaceDE w:val="0"/>
              <w:autoSpaceDN w:val="0"/>
              <w:adjustRightInd w:val="0"/>
              <w:spacing w:before="240"/>
              <w:jc w:val="both"/>
              <w:rPr>
                <w:sz w:val="22"/>
                <w:szCs w:val="22"/>
                <w:lang w:val="eu-ES"/>
              </w:rPr>
            </w:pPr>
            <w:r w:rsidRPr="005B3E2C">
              <w:rPr>
                <w:sz w:val="22"/>
                <w:szCs w:val="22"/>
                <w:lang w:val="eu-ES"/>
              </w:rPr>
              <w:t>Estatutuaren 10.2 artikuluak auto</w:t>
            </w:r>
            <w:r w:rsidR="0027725B">
              <w:rPr>
                <w:sz w:val="22"/>
                <w:szCs w:val="22"/>
                <w:lang w:val="eu-ES"/>
              </w:rPr>
              <w:t>-</w:t>
            </w:r>
            <w:r w:rsidRPr="005B3E2C">
              <w:rPr>
                <w:sz w:val="22"/>
                <w:szCs w:val="22"/>
                <w:lang w:val="eu-ES"/>
              </w:rPr>
              <w:t>antolaketarako ahalmena ematen dio Euskal Autonomia Erkidegoari, Administrazioa osatzen duten organo, administrazio-unitate edo erakundeak sortu, aldatu edo ezabatzeko.</w:t>
            </w:r>
          </w:p>
          <w:p w14:paraId="2B06B149" w14:textId="2EB4138B" w:rsidR="00707F58" w:rsidRPr="005B3E2C" w:rsidRDefault="00707F58" w:rsidP="004F0E70">
            <w:pPr>
              <w:autoSpaceDE w:val="0"/>
              <w:autoSpaceDN w:val="0"/>
              <w:adjustRightInd w:val="0"/>
              <w:spacing w:before="240"/>
              <w:jc w:val="both"/>
              <w:rPr>
                <w:sz w:val="22"/>
                <w:szCs w:val="22"/>
                <w:lang w:val="eu-ES"/>
              </w:rPr>
            </w:pPr>
            <w:r w:rsidRPr="005B3E2C">
              <w:rPr>
                <w:sz w:val="22"/>
                <w:szCs w:val="22"/>
                <w:lang w:val="eu-ES"/>
              </w:rPr>
              <w:br/>
            </w:r>
          </w:p>
          <w:p w14:paraId="1BE97FEB" w14:textId="60CCC74D" w:rsidR="00707F58" w:rsidRPr="005B3E2C" w:rsidRDefault="00707F58" w:rsidP="004F0E70">
            <w:pPr>
              <w:autoSpaceDE w:val="0"/>
              <w:autoSpaceDN w:val="0"/>
              <w:adjustRightInd w:val="0"/>
              <w:spacing w:before="240"/>
              <w:jc w:val="both"/>
              <w:rPr>
                <w:sz w:val="22"/>
                <w:szCs w:val="22"/>
                <w:lang w:val="eu-ES"/>
              </w:rPr>
            </w:pPr>
            <w:r w:rsidRPr="005B3E2C">
              <w:rPr>
                <w:sz w:val="22"/>
                <w:szCs w:val="22"/>
                <w:lang w:val="eu-ES"/>
              </w:rPr>
              <w:lastRenderedPageBreak/>
              <w:t>Bestalde, Lehendakaritzaren egitura organikoa eta funtzionala ezartzen duen azaroaren 26ko 388/2024 Dekretuak eginkizun hauek esleitzen dizkio Komunikazio eta Gizarte Berrikuntzako Idazkaritza Nagusiari:</w:t>
            </w:r>
          </w:p>
          <w:p w14:paraId="4DC83EF6" w14:textId="77777777" w:rsidR="007B3426" w:rsidRPr="005B3E2C" w:rsidRDefault="000A0608" w:rsidP="007B3426">
            <w:pPr>
              <w:autoSpaceDE w:val="0"/>
              <w:autoSpaceDN w:val="0"/>
              <w:adjustRightInd w:val="0"/>
              <w:spacing w:before="240"/>
              <w:jc w:val="both"/>
              <w:rPr>
                <w:i/>
                <w:iCs/>
                <w:sz w:val="22"/>
                <w:szCs w:val="22"/>
                <w:lang w:val="eu-ES"/>
              </w:rPr>
            </w:pPr>
            <w:r w:rsidRPr="005B3E2C">
              <w:rPr>
                <w:i/>
                <w:iCs/>
                <w:sz w:val="22"/>
                <w:szCs w:val="22"/>
                <w:lang w:val="eu-ES"/>
              </w:rPr>
              <w:t>"e) Sailen arteko, erakundeen arteko eta gizartearen arteko lankidetza bultzatzea Gizarte Berrikuntzaren eta 2030 Agendaren eremuetan, arlo horietako aliantza instituzionalak eta gizarte zibilarekiko aliantzak dinamizatuz.</w:t>
            </w:r>
            <w:r w:rsidRPr="005B3E2C">
              <w:rPr>
                <w:i/>
                <w:iCs/>
                <w:sz w:val="22"/>
                <w:szCs w:val="22"/>
                <w:lang w:val="eu-ES"/>
              </w:rPr>
              <w:br/>
            </w:r>
            <w:r w:rsidRPr="005B3E2C">
              <w:rPr>
                <w:i/>
                <w:iCs/>
                <w:sz w:val="22"/>
                <w:szCs w:val="22"/>
                <w:lang w:val="eu-ES"/>
              </w:rPr>
              <w:br/>
              <w:t>f) Eusko Jaurlaritzako sailei eta Euskadiko erakunde publikoei 2030 Agenda betetzen laguntzea, eta haren ezarpenaren ebaluazioa bultzatzea.</w:t>
            </w:r>
            <w:r w:rsidRPr="005B3E2C">
              <w:rPr>
                <w:i/>
                <w:iCs/>
                <w:sz w:val="22"/>
                <w:szCs w:val="22"/>
                <w:lang w:val="eu-ES"/>
              </w:rPr>
              <w:br/>
            </w:r>
            <w:r w:rsidRPr="005B3E2C">
              <w:rPr>
                <w:i/>
                <w:iCs/>
                <w:sz w:val="22"/>
                <w:szCs w:val="22"/>
                <w:lang w:val="eu-ES"/>
              </w:rPr>
              <w:br/>
              <w:t>g) Gizarte-berrikuntzaren eta 2030 Agendaren arloko zabalkundea, komunikazioa eta gizarte-sustapena bultzatzea».</w:t>
            </w:r>
          </w:p>
          <w:p w14:paraId="317B92C6" w14:textId="6282C4E4" w:rsidR="004F0E70" w:rsidRPr="005B3E2C" w:rsidRDefault="007B3426" w:rsidP="007B3426">
            <w:pPr>
              <w:autoSpaceDE w:val="0"/>
              <w:autoSpaceDN w:val="0"/>
              <w:adjustRightInd w:val="0"/>
              <w:spacing w:before="240"/>
              <w:jc w:val="both"/>
              <w:rPr>
                <w:sz w:val="22"/>
                <w:szCs w:val="22"/>
                <w:lang w:val="eu-ES"/>
              </w:rPr>
            </w:pPr>
            <w:r w:rsidRPr="005B3E2C">
              <w:rPr>
                <w:sz w:val="22"/>
                <w:szCs w:val="22"/>
                <w:lang w:val="eu-ES"/>
              </w:rPr>
              <w:t>Adierazitako guztiagatik, proiektatutako araua bideragarria da, bai juridikoki, bai materialki.</w:t>
            </w:r>
          </w:p>
          <w:p w14:paraId="078F08F4" w14:textId="77777777" w:rsidR="007B3426" w:rsidRPr="005B3E2C" w:rsidRDefault="007B3426" w:rsidP="007B3426">
            <w:pPr>
              <w:autoSpaceDE w:val="0"/>
              <w:autoSpaceDN w:val="0"/>
              <w:adjustRightInd w:val="0"/>
              <w:spacing w:before="240"/>
              <w:jc w:val="both"/>
              <w:rPr>
                <w:i/>
                <w:iCs/>
                <w:sz w:val="22"/>
                <w:szCs w:val="22"/>
                <w:lang w:val="eu-ES"/>
              </w:rPr>
            </w:pPr>
          </w:p>
          <w:p w14:paraId="47D4BC28" w14:textId="1918B755" w:rsidR="004F0E70" w:rsidRPr="005B3E2C" w:rsidRDefault="007F0808" w:rsidP="007F0808">
            <w:pPr>
              <w:jc w:val="both"/>
              <w:rPr>
                <w:sz w:val="22"/>
                <w:szCs w:val="22"/>
                <w:lang w:val="eu-ES"/>
              </w:rPr>
            </w:pPr>
            <w:r w:rsidRPr="005B3E2C">
              <w:rPr>
                <w:b/>
                <w:bCs/>
                <w:sz w:val="22"/>
                <w:szCs w:val="22"/>
                <w:u w:val="single"/>
                <w:lang w:val="eu-ES"/>
              </w:rPr>
              <w:t xml:space="preserve">Hirugarrena. – </w:t>
            </w:r>
            <w:r w:rsidRPr="005B3E2C">
              <w:rPr>
                <w:sz w:val="22"/>
                <w:szCs w:val="22"/>
                <w:u w:val="single"/>
                <w:lang w:val="eu-ES"/>
              </w:rPr>
              <w:t>Antolamendu juridikoan izango duen eragina.</w:t>
            </w:r>
          </w:p>
          <w:p w14:paraId="46C5E2A0" w14:textId="77777777" w:rsidR="007F0808" w:rsidRPr="005B3E2C" w:rsidRDefault="007F0808" w:rsidP="004F0E70">
            <w:pPr>
              <w:jc w:val="both"/>
              <w:rPr>
                <w:sz w:val="22"/>
                <w:szCs w:val="22"/>
                <w:lang w:val="eu-ES"/>
              </w:rPr>
            </w:pPr>
          </w:p>
          <w:p w14:paraId="7872042D" w14:textId="37BC07DE" w:rsidR="004F0E70" w:rsidRPr="005B3E2C" w:rsidRDefault="0056710C" w:rsidP="001677F2">
            <w:pPr>
              <w:jc w:val="both"/>
              <w:rPr>
                <w:sz w:val="22"/>
                <w:szCs w:val="22"/>
                <w:lang w:val="eu-ES"/>
              </w:rPr>
            </w:pPr>
            <w:r w:rsidRPr="005B3E2C">
              <w:rPr>
                <w:sz w:val="22"/>
                <w:szCs w:val="22"/>
                <w:lang w:val="eu-ES"/>
              </w:rPr>
              <w:t>Araua onartzeak indarrean dagoen uztailaren 6ko 166/2021 Dekretua indargabetzea ekarriko du, Euskadin Trantsizio Sozialaren eta 2030 Agendaren Eragile Anitzeko Foroa sortu eta arautzen duena.</w:t>
            </w:r>
          </w:p>
          <w:p w14:paraId="21F27738" w14:textId="77777777" w:rsidR="0056710C" w:rsidRPr="005B3E2C" w:rsidRDefault="0056710C" w:rsidP="001677F2">
            <w:pPr>
              <w:jc w:val="both"/>
              <w:rPr>
                <w:sz w:val="22"/>
                <w:szCs w:val="22"/>
                <w:lang w:val="eu-ES"/>
              </w:rPr>
            </w:pPr>
          </w:p>
          <w:p w14:paraId="1A5CD893" w14:textId="37230164" w:rsidR="004F0E70" w:rsidRPr="005B3E2C" w:rsidRDefault="0056710C" w:rsidP="0056710C">
            <w:pPr>
              <w:jc w:val="both"/>
              <w:rPr>
                <w:b/>
                <w:bCs/>
                <w:sz w:val="22"/>
                <w:szCs w:val="22"/>
                <w:u w:val="single"/>
                <w:lang w:val="eu-ES"/>
              </w:rPr>
            </w:pPr>
            <w:r w:rsidRPr="005B3E2C">
              <w:rPr>
                <w:b/>
                <w:bCs/>
                <w:sz w:val="22"/>
                <w:szCs w:val="22"/>
                <w:u w:val="single"/>
                <w:lang w:val="eu-ES"/>
              </w:rPr>
              <w:t xml:space="preserve">Laugarrena. – </w:t>
            </w:r>
            <w:r w:rsidRPr="005B3E2C">
              <w:rPr>
                <w:sz w:val="22"/>
                <w:szCs w:val="22"/>
                <w:u w:val="single"/>
                <w:lang w:val="eu-ES"/>
              </w:rPr>
              <w:t>Aurrekontuan izango duen eragina.</w:t>
            </w:r>
            <w:r w:rsidRPr="005B3E2C">
              <w:rPr>
                <w:b/>
                <w:bCs/>
                <w:sz w:val="22"/>
                <w:szCs w:val="22"/>
                <w:u w:val="single"/>
                <w:lang w:val="eu-ES"/>
              </w:rPr>
              <w:t xml:space="preserve"> </w:t>
            </w:r>
          </w:p>
          <w:p w14:paraId="46AAA14C" w14:textId="77777777" w:rsidR="00E61910" w:rsidRPr="00E61910" w:rsidRDefault="00E61910" w:rsidP="00E61910">
            <w:pPr>
              <w:jc w:val="both"/>
              <w:rPr>
                <w:sz w:val="22"/>
                <w:szCs w:val="22"/>
                <w:lang w:val="eu-ES"/>
              </w:rPr>
            </w:pPr>
          </w:p>
          <w:p w14:paraId="07BF7124" w14:textId="2A52D777" w:rsidR="004F0E70" w:rsidRPr="005B3E2C" w:rsidRDefault="006B4153" w:rsidP="006B4153">
            <w:pPr>
              <w:jc w:val="both"/>
              <w:rPr>
                <w:sz w:val="22"/>
                <w:szCs w:val="22"/>
                <w:lang w:val="eu-ES"/>
              </w:rPr>
            </w:pPr>
            <w:r w:rsidRPr="005B3E2C">
              <w:rPr>
                <w:sz w:val="22"/>
                <w:szCs w:val="22"/>
                <w:lang w:val="eu-ES"/>
              </w:rPr>
              <w:t>Ez da memoria ekonomikorik egin behar, foroa sortzeak ez baitu eraginik Euskal Autonomia Erkidegoko Administrazio Orokorraren aurrekontuetan.</w:t>
            </w:r>
          </w:p>
          <w:p w14:paraId="1A0C93CA" w14:textId="77777777" w:rsidR="006B4153" w:rsidRPr="005B3E2C" w:rsidRDefault="006B4153" w:rsidP="006B4153">
            <w:pPr>
              <w:jc w:val="both"/>
              <w:rPr>
                <w:sz w:val="22"/>
                <w:szCs w:val="22"/>
                <w:lang w:val="eu-ES"/>
              </w:rPr>
            </w:pPr>
          </w:p>
          <w:p w14:paraId="5E03E799" w14:textId="06F694E3" w:rsidR="004F0E70" w:rsidRPr="005B3E2C" w:rsidRDefault="006B4153" w:rsidP="006B4153">
            <w:pPr>
              <w:jc w:val="both"/>
              <w:rPr>
                <w:b/>
                <w:bCs/>
                <w:sz w:val="22"/>
                <w:szCs w:val="22"/>
                <w:u w:val="single"/>
                <w:lang w:val="eu-ES"/>
              </w:rPr>
            </w:pPr>
            <w:r w:rsidRPr="005B3E2C">
              <w:rPr>
                <w:b/>
                <w:bCs/>
                <w:sz w:val="22"/>
                <w:szCs w:val="22"/>
                <w:u w:val="single"/>
                <w:lang w:val="eu-ES"/>
              </w:rPr>
              <w:t xml:space="preserve">Bosgarrena. – </w:t>
            </w:r>
            <w:r w:rsidRPr="005B3E2C">
              <w:rPr>
                <w:sz w:val="22"/>
                <w:szCs w:val="22"/>
                <w:u w:val="single"/>
                <w:lang w:val="eu-ES"/>
              </w:rPr>
              <w:t>Aurreko izapideak eta txostenak</w:t>
            </w:r>
          </w:p>
          <w:p w14:paraId="2C4149B2" w14:textId="77777777" w:rsidR="006B4153" w:rsidRPr="005B3E2C" w:rsidRDefault="006B4153" w:rsidP="006B4153">
            <w:pPr>
              <w:jc w:val="both"/>
              <w:rPr>
                <w:sz w:val="22"/>
                <w:szCs w:val="22"/>
                <w:lang w:val="eu-ES"/>
              </w:rPr>
            </w:pPr>
          </w:p>
          <w:p w14:paraId="5B246C52" w14:textId="77777777" w:rsidR="00F35FE4" w:rsidRDefault="00326A13" w:rsidP="00326A13">
            <w:pPr>
              <w:jc w:val="both"/>
              <w:rPr>
                <w:sz w:val="22"/>
                <w:szCs w:val="22"/>
                <w:lang w:val="eu-ES"/>
              </w:rPr>
            </w:pPr>
            <w:r w:rsidRPr="005B3E2C">
              <w:rPr>
                <w:sz w:val="22"/>
                <w:szCs w:val="22"/>
                <w:lang w:val="eu-ES"/>
              </w:rPr>
              <w:t>1. – Dekretu-proiektuaren testua idazteko, dekretu honen edukia hartuko da kontuan, eta kontuan hartuko dira bilatzen diren helburuetara ondoen egokitzen diren aukerak, bai eta aurreikusitako araudiaren egokitasuna eta legezkotasuna bermatzeko beharrezkotzat jotzen diren kontsulten emaitzak ere.</w:t>
            </w:r>
            <w:r w:rsidRPr="005B3E2C">
              <w:rPr>
                <w:sz w:val="22"/>
                <w:szCs w:val="22"/>
                <w:lang w:val="eu-ES"/>
              </w:rPr>
              <w:br/>
            </w:r>
            <w:r w:rsidRPr="005B3E2C">
              <w:rPr>
                <w:sz w:val="22"/>
                <w:szCs w:val="22"/>
                <w:lang w:val="eu-ES"/>
              </w:rPr>
              <w:br/>
              <w:t>2. – Espedientea izapidetze elektronikorako «Tramitagune» aplikazio informatikoaren bidez izapidetuko da, Xedapen Orokorrak Egiteko Prozedura aplikatzeari buruzko Jarraibideak onartzen dituen Gobernu Kontseiluaren 2017ko abenduaren 12ko Erabakiarekin bat etorriz. Erabaki hori Jaurlaritzaren Idazkaritzako eta Legebiltzarrarekiko Harremanetarako zuzendariaren abenduaren 12ko 132/2017 Ebazpenaren bidez argitaratu zen.</w:t>
            </w:r>
            <w:r w:rsidRPr="005B3E2C">
              <w:rPr>
                <w:sz w:val="22"/>
                <w:szCs w:val="22"/>
                <w:lang w:val="eu-ES"/>
              </w:rPr>
              <w:br/>
            </w:r>
            <w:r w:rsidRPr="005B3E2C">
              <w:rPr>
                <w:sz w:val="22"/>
                <w:szCs w:val="22"/>
                <w:lang w:val="eu-ES"/>
              </w:rPr>
              <w:br/>
              <w:t xml:space="preserve">3. – Ildo beretik, eta Gardentasunari, informazio publikoa eskuratzeko bideari eta gobernu onari buruzko abenduaren 9ko 19/2013 Legean xedatutakoaren arabera, </w:t>
            </w:r>
            <w:proofErr w:type="spellStart"/>
            <w:r w:rsidRPr="005B3E2C">
              <w:rPr>
                <w:sz w:val="22"/>
                <w:szCs w:val="22"/>
                <w:lang w:val="eu-ES"/>
              </w:rPr>
              <w:t>Legegunean</w:t>
            </w:r>
            <w:proofErr w:type="spellEnd"/>
            <w:r w:rsidRPr="005B3E2C">
              <w:rPr>
                <w:sz w:val="22"/>
                <w:szCs w:val="22"/>
                <w:lang w:val="eu-ES"/>
              </w:rPr>
              <w:t xml:space="preserve"> argitaratuko da proiektuaren testua, bertan xedatutako publizitate-agindua betetzeko eta euskaraz eta gaztelaniaz argitaratzeko. Era berean, espedientea osatzen duten memoriak eta txostenak argitaratuko dira.</w:t>
            </w:r>
            <w:r w:rsidRPr="005B3E2C">
              <w:rPr>
                <w:sz w:val="22"/>
                <w:szCs w:val="22"/>
                <w:lang w:val="eu-ES"/>
              </w:rPr>
              <w:br/>
            </w:r>
            <w:r w:rsidRPr="005B3E2C">
              <w:rPr>
                <w:sz w:val="22"/>
                <w:szCs w:val="22"/>
                <w:lang w:val="eu-ES"/>
              </w:rPr>
              <w:br/>
              <w:t>4. – Dekretu-proiektua izapidetzean, kontsulta publikoa egingo da, iragarki-taularen bidez, Administrazio Publikoen Administrazio Prozedura Erkidearen urriaren 1eko 39/2015 Legearen 133. artikuluan xedatutakoaren arabera.</w:t>
            </w:r>
          </w:p>
          <w:p w14:paraId="28C54E29" w14:textId="1F5C7FC6" w:rsidR="00F35FE4" w:rsidRDefault="00326A13" w:rsidP="00326A13">
            <w:pPr>
              <w:jc w:val="both"/>
              <w:rPr>
                <w:sz w:val="22"/>
                <w:szCs w:val="22"/>
                <w:lang w:val="eu-ES"/>
              </w:rPr>
            </w:pPr>
            <w:r w:rsidRPr="005B3E2C">
              <w:rPr>
                <w:sz w:val="22"/>
                <w:szCs w:val="22"/>
                <w:lang w:val="eu-ES"/>
              </w:rPr>
              <w:br/>
              <w:t>5. – Dekretu-proiektua idatzi ondoren, lehendakariak aldez aurretik onartu beharko du, ekainaren 30eko 6/2022 Legearen 15.1 artikuluaren arabera.</w:t>
            </w:r>
          </w:p>
          <w:p w14:paraId="425C06C4" w14:textId="7DAB1EB0" w:rsidR="00326A13" w:rsidRPr="005B3E2C" w:rsidRDefault="00326A13" w:rsidP="00326A13">
            <w:pPr>
              <w:jc w:val="both"/>
              <w:rPr>
                <w:sz w:val="22"/>
                <w:szCs w:val="22"/>
                <w:lang w:val="eu-ES"/>
              </w:rPr>
            </w:pPr>
            <w:r w:rsidRPr="005B3E2C">
              <w:rPr>
                <w:sz w:val="22"/>
                <w:szCs w:val="22"/>
                <w:lang w:val="eu-ES"/>
              </w:rPr>
              <w:br/>
            </w:r>
            <w:r w:rsidRPr="005B3E2C">
              <w:rPr>
                <w:sz w:val="22"/>
                <w:szCs w:val="22"/>
                <w:lang w:val="eu-ES"/>
              </w:rPr>
              <w:br/>
            </w:r>
            <w:r w:rsidRPr="005B3E2C">
              <w:rPr>
                <w:sz w:val="22"/>
                <w:szCs w:val="22"/>
                <w:lang w:val="eu-ES"/>
              </w:rPr>
              <w:lastRenderedPageBreak/>
              <w:t>6. – Lehendakaritzako zerbitzu juridikoak txosten juridikoa egingo du proiektuaren funts objektiboa aztertzeko, edukia legearekin eta zuzenbidearekin bat datorren ikusteko eta araugintzako teknikaren jarraibideak bete diren egiaztatzeko.</w:t>
            </w:r>
            <w:r w:rsidRPr="005B3E2C">
              <w:rPr>
                <w:sz w:val="22"/>
                <w:szCs w:val="22"/>
                <w:lang w:val="eu-ES"/>
              </w:rPr>
              <w:br/>
            </w:r>
            <w:r w:rsidRPr="005B3E2C">
              <w:rPr>
                <w:sz w:val="22"/>
                <w:szCs w:val="22"/>
                <w:lang w:val="eu-ES"/>
              </w:rPr>
              <w:br/>
              <w:t>7. – Xedapen Orokorrak Egiteko Prozeduraren ekainaren 30eko 6/2022 Legearen 18. artikuluaren arabera, Jaurlaritzako sailei helaraziko zaie proiektua, parte har dezaten eta kontsulta egin dezaten.</w:t>
            </w:r>
            <w:r w:rsidRPr="005B3E2C">
              <w:rPr>
                <w:sz w:val="22"/>
                <w:szCs w:val="22"/>
                <w:lang w:val="eu-ES"/>
              </w:rPr>
              <w:br/>
            </w:r>
            <w:r w:rsidRPr="005B3E2C">
              <w:rPr>
                <w:sz w:val="22"/>
                <w:szCs w:val="22"/>
                <w:lang w:val="eu-ES"/>
              </w:rPr>
              <w:br/>
              <w:t>8. – Nahitaezko txostenak eta kontsulta-organoen irizpenak eskatuko dira, izapide hori arautzen duten xedapenek ezarritako unean eta moduan, arau-xedapenak egiteko indarrean dagoen prozeduraren arabera, honako hauei buruzkoak barne:</w:t>
            </w:r>
          </w:p>
          <w:p w14:paraId="3F9024F1" w14:textId="77777777" w:rsidR="00326A13" w:rsidRPr="005B3E2C" w:rsidRDefault="00326A13" w:rsidP="00326A13">
            <w:pPr>
              <w:jc w:val="both"/>
              <w:rPr>
                <w:sz w:val="22"/>
                <w:szCs w:val="22"/>
                <w:lang w:val="eu-ES"/>
              </w:rPr>
            </w:pPr>
          </w:p>
          <w:p w14:paraId="7B36B078" w14:textId="39590C15" w:rsidR="004F0E70" w:rsidRPr="005B3E2C" w:rsidRDefault="006854AC" w:rsidP="001677F2">
            <w:pPr>
              <w:ind w:left="170"/>
              <w:jc w:val="both"/>
              <w:rPr>
                <w:bCs/>
                <w:sz w:val="22"/>
                <w:szCs w:val="22"/>
                <w:lang w:val="eu-ES"/>
              </w:rPr>
            </w:pPr>
            <w:r w:rsidRPr="005B3E2C">
              <w:rPr>
                <w:bCs/>
                <w:sz w:val="22"/>
                <w:szCs w:val="22"/>
                <w:lang w:val="eu-ES"/>
              </w:rPr>
              <w:t xml:space="preserve">a) </w:t>
            </w:r>
            <w:r w:rsidRPr="005B3E2C">
              <w:rPr>
                <w:b/>
                <w:sz w:val="22"/>
                <w:szCs w:val="22"/>
                <w:lang w:val="eu-ES"/>
              </w:rPr>
              <w:t>Kultura eta Hizkuntza Politika Saileko Herri Administrazioetan Hizkuntza Normalizatzeko Zuzendaritzaren txostena</w:t>
            </w:r>
            <w:r w:rsidRPr="005B3E2C">
              <w:rPr>
                <w:bCs/>
                <w:sz w:val="22"/>
                <w:szCs w:val="22"/>
                <w:lang w:val="eu-ES"/>
              </w:rPr>
              <w:t>, xedapen orokorrek euskararen erabileraren normalizazioan zer eragin duten eta hizkuntza arloan indarrean dagoen araudia betetzen duten ala ez argitzekoa (233/2012 Dekretua, azaroaren 6koa, Xedapen orokorrak egiteko prozeduran euskararen erabileraren normalizazioaren ikuspegia txertatzeko araubidea ezartzen duena; 2. artikulua).</w:t>
            </w:r>
            <w:r w:rsidRPr="005B3E2C">
              <w:rPr>
                <w:bCs/>
                <w:sz w:val="22"/>
                <w:szCs w:val="22"/>
                <w:lang w:val="eu-ES"/>
              </w:rPr>
              <w:br/>
            </w:r>
            <w:r w:rsidRPr="005B3E2C">
              <w:rPr>
                <w:bCs/>
                <w:sz w:val="22"/>
                <w:szCs w:val="22"/>
                <w:lang w:val="eu-ES"/>
              </w:rPr>
              <w:br/>
              <w:t xml:space="preserve">b) Martxoaren 16ko 1/2023 Legegintzako Dekretuak onartutako Emakumeen eta gizonen berdintasunerako eta emakumeen aurkako indarkeria matxistarik gabe bizitzeko Legearen testu </w:t>
            </w:r>
            <w:proofErr w:type="spellStart"/>
            <w:r w:rsidRPr="005B3E2C">
              <w:rPr>
                <w:bCs/>
                <w:sz w:val="22"/>
                <w:szCs w:val="22"/>
                <w:lang w:val="eu-ES"/>
              </w:rPr>
              <w:t>bateginaren</w:t>
            </w:r>
            <w:proofErr w:type="spellEnd"/>
            <w:r w:rsidRPr="005B3E2C">
              <w:rPr>
                <w:bCs/>
                <w:sz w:val="22"/>
                <w:szCs w:val="22"/>
                <w:lang w:val="eu-ES"/>
              </w:rPr>
              <w:t xml:space="preserve"> 20. artikuluan adierazitakoaren arabera, hasteko agindua eman aurretik, </w:t>
            </w:r>
            <w:r w:rsidRPr="005B3E2C">
              <w:rPr>
                <w:b/>
                <w:sz w:val="22"/>
                <w:szCs w:val="22"/>
                <w:lang w:val="eu-ES"/>
              </w:rPr>
              <w:t>genero-eraginari buruzko txostena</w:t>
            </w:r>
            <w:r w:rsidRPr="005B3E2C">
              <w:rPr>
                <w:bCs/>
                <w:sz w:val="22"/>
                <w:szCs w:val="22"/>
                <w:lang w:val="eu-ES"/>
              </w:rPr>
              <w:t xml:space="preserve"> eskatuko da.</w:t>
            </w:r>
            <w:r w:rsidRPr="005B3E2C">
              <w:rPr>
                <w:bCs/>
                <w:sz w:val="22"/>
                <w:szCs w:val="22"/>
                <w:lang w:val="eu-ES"/>
              </w:rPr>
              <w:br/>
            </w:r>
            <w:r w:rsidRPr="005B3E2C">
              <w:rPr>
                <w:bCs/>
                <w:sz w:val="22"/>
                <w:szCs w:val="22"/>
                <w:lang w:val="eu-ES"/>
              </w:rPr>
              <w:br/>
              <w:t xml:space="preserve">c) </w:t>
            </w:r>
            <w:r w:rsidRPr="005B3E2C">
              <w:rPr>
                <w:b/>
                <w:sz w:val="22"/>
                <w:szCs w:val="22"/>
                <w:lang w:val="eu-ES"/>
              </w:rPr>
              <w:t>Gobernu Irekiaren eta Gobernu Onaren Zuzendaritzaren txostena</w:t>
            </w:r>
            <w:r w:rsidRPr="005B3E2C">
              <w:rPr>
                <w:bCs/>
                <w:sz w:val="22"/>
                <w:szCs w:val="22"/>
                <w:lang w:val="eu-ES"/>
              </w:rPr>
              <w:t>, Gobernantza, Administrazio Digital eta Autogobernu Sailaren egitura organikoa eta funtzionala ezartzen duen urriaren 29ko 317/2024 Dekretuaren 12.1-n) artikuluaren arabera.</w:t>
            </w:r>
            <w:r w:rsidRPr="005B3E2C">
              <w:rPr>
                <w:bCs/>
                <w:sz w:val="22"/>
                <w:szCs w:val="22"/>
                <w:lang w:val="eu-ES"/>
              </w:rPr>
              <w:br/>
            </w:r>
            <w:r w:rsidRPr="005B3E2C">
              <w:rPr>
                <w:bCs/>
                <w:sz w:val="22"/>
                <w:szCs w:val="22"/>
                <w:lang w:val="eu-ES"/>
              </w:rPr>
              <w:br/>
              <w:t xml:space="preserve">d) </w:t>
            </w:r>
            <w:r w:rsidRPr="005B3E2C">
              <w:rPr>
                <w:b/>
                <w:sz w:val="22"/>
                <w:szCs w:val="22"/>
                <w:lang w:val="eu-ES"/>
              </w:rPr>
              <w:t>Eusko Jaurlaritzaren Zerbitzu Juridiko Nagusiaren legezkotasun-txostena</w:t>
            </w:r>
            <w:r w:rsidRPr="005B3E2C">
              <w:rPr>
                <w:bCs/>
                <w:sz w:val="22"/>
                <w:szCs w:val="22"/>
                <w:lang w:val="eu-ES"/>
              </w:rPr>
              <w:t>, Eusko Jaurlaritzaren Zerbitzu Juridikoaren apirilaren 25eko 144/2017 Dekretuaren 11.2 a) artikuluan ezarritakoaren arabera. Txosten-eskaerarekin batera, laburpen-memoria bat bidali beharko da, aipatutako 144/2017 Dekretuaren 11.3 artikuluan zehaztutako edukiarekin.</w:t>
            </w:r>
            <w:r w:rsidRPr="005B3E2C">
              <w:rPr>
                <w:bCs/>
                <w:sz w:val="22"/>
                <w:szCs w:val="22"/>
                <w:lang w:val="eu-ES"/>
              </w:rPr>
              <w:br/>
            </w:r>
            <w:r w:rsidRPr="005B3E2C">
              <w:rPr>
                <w:bCs/>
                <w:sz w:val="22"/>
                <w:szCs w:val="22"/>
                <w:lang w:val="eu-ES"/>
              </w:rPr>
              <w:br/>
              <w:t xml:space="preserve">e) </w:t>
            </w:r>
            <w:r w:rsidRPr="005B3E2C">
              <w:rPr>
                <w:b/>
                <w:sz w:val="22"/>
                <w:szCs w:val="22"/>
                <w:lang w:val="eu-ES"/>
              </w:rPr>
              <w:t>Enplegu Publikoko Zuzendaritzaren txostena</w:t>
            </w:r>
            <w:r w:rsidRPr="005B3E2C">
              <w:rPr>
                <w:bCs/>
                <w:sz w:val="22"/>
                <w:szCs w:val="22"/>
                <w:lang w:val="eu-ES"/>
              </w:rPr>
              <w:t>, Euskal Enplegu Publikoaren abenduaren 1eko 11/2022 Legearen 18.2.a) artikuluak zuzendaritza horri emandako eskumena baliatuz, Gobernantza, Administrazio Digital eta Autogobernu Sailaren egitura organikoa eta funtzionala ezartzen duen urriaren 29ko 317/2024 Dekretuaren 17-l) artikuluarekin lotuta.</w:t>
            </w:r>
            <w:r w:rsidRPr="005B3E2C">
              <w:rPr>
                <w:bCs/>
                <w:sz w:val="22"/>
                <w:szCs w:val="22"/>
                <w:lang w:val="eu-ES"/>
              </w:rPr>
              <w:br/>
            </w:r>
            <w:r w:rsidRPr="005B3E2C">
              <w:rPr>
                <w:bCs/>
                <w:sz w:val="22"/>
                <w:szCs w:val="22"/>
                <w:lang w:val="eu-ES"/>
              </w:rPr>
              <w:br/>
              <w:t xml:space="preserve">f) </w:t>
            </w:r>
            <w:r w:rsidRPr="005B3E2C">
              <w:rPr>
                <w:b/>
                <w:sz w:val="22"/>
                <w:szCs w:val="22"/>
                <w:lang w:val="eu-ES"/>
              </w:rPr>
              <w:t>Kontrol Ekonomikoko Bulegoaren ekonomia- eta arau-kontrolari buruzko txostena</w:t>
            </w:r>
            <w:r w:rsidRPr="005B3E2C">
              <w:rPr>
                <w:bCs/>
                <w:sz w:val="22"/>
                <w:szCs w:val="22"/>
                <w:lang w:val="eu-ES"/>
              </w:rPr>
              <w:t xml:space="preserve">, Ogasun eta Finantza Sailaren egitura organikoa eta funtzionala ezartzen duen urriaren 29ko 313/2024 Dekretuaren 7.a) artikuluan ezarritakoaren arabera, urriaren 19ko 2/2017 Legegintzako Dekretuaren bidez onartutako Euskal Autonomia Erkidegoko Ekonomia Kontrolari eta Kontabilitateari buruzko Legearen testu </w:t>
            </w:r>
            <w:proofErr w:type="spellStart"/>
            <w:r w:rsidRPr="005B3E2C">
              <w:rPr>
                <w:bCs/>
                <w:sz w:val="22"/>
                <w:szCs w:val="22"/>
                <w:lang w:val="eu-ES"/>
              </w:rPr>
              <w:t>bateginaren</w:t>
            </w:r>
            <w:proofErr w:type="spellEnd"/>
            <w:r w:rsidRPr="005B3E2C">
              <w:rPr>
                <w:bCs/>
                <w:sz w:val="22"/>
                <w:szCs w:val="22"/>
                <w:lang w:val="eu-ES"/>
              </w:rPr>
              <w:t xml:space="preserve"> III. tituluko IV. kapituluan eta Euskal Autonomia Erkidegoko Administrazio Publikoaren barneko ekonomiaren kontrola eta kontabilitatea garatzen dituen urriaren 31ko 464/1995 Dekretuan jasotako aurreikuspenei dagokienez. Arau-xedapenaren proiektuaren testua eta edukiaren arabera eskatutako dokumentazioa Kontrol Ekonomikoko Bulegoan jaso eta 15 eguneko epean eman beharko da.</w:t>
            </w:r>
          </w:p>
          <w:p w14:paraId="6C6C6647" w14:textId="77777777" w:rsidR="006854AC" w:rsidRPr="005B3E2C" w:rsidRDefault="006854AC" w:rsidP="001677F2">
            <w:pPr>
              <w:ind w:left="170"/>
              <w:jc w:val="both"/>
              <w:rPr>
                <w:sz w:val="22"/>
                <w:szCs w:val="22"/>
                <w:lang w:val="eu-ES"/>
              </w:rPr>
            </w:pPr>
          </w:p>
          <w:p w14:paraId="72443A79" w14:textId="77777777" w:rsidR="0067358F" w:rsidRPr="005B3E2C" w:rsidRDefault="0067358F" w:rsidP="0067358F">
            <w:pPr>
              <w:jc w:val="both"/>
              <w:rPr>
                <w:sz w:val="22"/>
                <w:szCs w:val="22"/>
                <w:lang w:val="eu-ES"/>
              </w:rPr>
            </w:pPr>
            <w:r w:rsidRPr="005B3E2C">
              <w:rPr>
                <w:sz w:val="22"/>
                <w:szCs w:val="22"/>
                <w:lang w:val="eu-ES"/>
              </w:rPr>
              <w:t>9. – Dekretu-proiektuaren edukia kontuan hartuta, ez dira beharrezkotzat jotzen entzunaldiaren eta jendaurreko informazioaren izapideak. Antolamendu-xedapena denez, proiektua bi izapideetatik salbuetsita dago, 6/2022 Legearen 17.4 artikuluan xedatutakoaren arabera.</w:t>
            </w:r>
            <w:r w:rsidRPr="005B3E2C">
              <w:rPr>
                <w:sz w:val="22"/>
                <w:szCs w:val="22"/>
                <w:lang w:val="eu-ES"/>
              </w:rPr>
              <w:br/>
            </w:r>
            <w:r w:rsidRPr="005B3E2C">
              <w:rPr>
                <w:sz w:val="22"/>
                <w:szCs w:val="22"/>
                <w:lang w:val="eu-ES"/>
              </w:rPr>
              <w:br/>
              <w:t xml:space="preserve">10. – Ez da beharrezkoa beste administrazio batzuei kontsulta egitea. Ez da beharrezkoa gainerako euskal administrazio publikoei kontsulta egitea, antolamendu-izaerako araua baita, eta arauaren aplikazio-eremua Euskal Autonomia Erkidegoko Administrazio Orokorra baita, </w:t>
            </w:r>
            <w:r w:rsidRPr="005B3E2C">
              <w:rPr>
                <w:sz w:val="22"/>
                <w:szCs w:val="22"/>
                <w:lang w:val="eu-ES"/>
              </w:rPr>
              <w:lastRenderedPageBreak/>
              <w:t>dagokion administrazio instituzionalarekin eta haren mendeko eta hari atxikitako gainerako erakunde instrumentalekin batera.</w:t>
            </w:r>
          </w:p>
          <w:p w14:paraId="3E5CA2C6" w14:textId="77777777" w:rsidR="0027725B" w:rsidRDefault="0067358F" w:rsidP="0067358F">
            <w:pPr>
              <w:jc w:val="both"/>
              <w:rPr>
                <w:sz w:val="22"/>
                <w:szCs w:val="22"/>
                <w:lang w:val="eu-ES"/>
              </w:rPr>
            </w:pPr>
            <w:r w:rsidRPr="005B3E2C">
              <w:rPr>
                <w:sz w:val="22"/>
                <w:szCs w:val="22"/>
                <w:lang w:val="eu-ES"/>
              </w:rPr>
              <w:br/>
              <w:t>11. – Europar Batasunean ere ez da izapiderik egin behar.</w:t>
            </w:r>
          </w:p>
          <w:p w14:paraId="4B9DAD4F" w14:textId="02DD5223" w:rsidR="004F0E70" w:rsidRPr="005B3E2C" w:rsidRDefault="0067358F" w:rsidP="0067358F">
            <w:pPr>
              <w:jc w:val="both"/>
              <w:rPr>
                <w:sz w:val="22"/>
                <w:szCs w:val="22"/>
                <w:lang w:val="eu-ES"/>
              </w:rPr>
            </w:pPr>
            <w:r w:rsidRPr="005B3E2C">
              <w:rPr>
                <w:sz w:val="22"/>
                <w:szCs w:val="22"/>
                <w:lang w:val="eu-ES"/>
              </w:rPr>
              <w:br/>
              <w:t>12. – Eduki ekonomikorik ez duenez, hasierako memoriak adierazten du ez duela eduki ekonomikorik, eta, beraz, ez da banakako memoria ekonomikorik aurkeztu.</w:t>
            </w:r>
            <w:r w:rsidRPr="005B3E2C">
              <w:rPr>
                <w:sz w:val="22"/>
                <w:szCs w:val="22"/>
                <w:lang w:val="eu-ES"/>
              </w:rPr>
              <w:br/>
            </w:r>
            <w:r w:rsidRPr="005B3E2C">
              <w:rPr>
                <w:sz w:val="22"/>
                <w:szCs w:val="22"/>
                <w:lang w:val="eu-ES"/>
              </w:rPr>
              <w:br/>
              <w:t>13. – Espedienteari, hasierako dekretu honetaz gain, egindako azterlanak eta kontsultak eta prozedura osoaren memoria labur bat erantsiko zaizkio, ekainaren 30eko 6/2022 Legearen 24.2 artikuluan adierazitako edukiarekin.</w:t>
            </w:r>
          </w:p>
          <w:p w14:paraId="45F7A799" w14:textId="77777777" w:rsidR="0067358F" w:rsidRPr="005B3E2C" w:rsidRDefault="0067358F" w:rsidP="0067358F">
            <w:pPr>
              <w:jc w:val="both"/>
              <w:rPr>
                <w:sz w:val="22"/>
                <w:szCs w:val="22"/>
                <w:lang w:val="eu-ES"/>
              </w:rPr>
            </w:pPr>
          </w:p>
          <w:p w14:paraId="7B0E83FE" w14:textId="53B978FF" w:rsidR="004F0E70" w:rsidRPr="005B3E2C" w:rsidRDefault="007A0419" w:rsidP="004F0E70">
            <w:pPr>
              <w:jc w:val="both"/>
              <w:rPr>
                <w:sz w:val="22"/>
                <w:szCs w:val="22"/>
                <w:u w:val="single"/>
                <w:lang w:val="eu-ES"/>
              </w:rPr>
            </w:pPr>
            <w:r w:rsidRPr="005B3E2C">
              <w:rPr>
                <w:b/>
                <w:bCs/>
                <w:sz w:val="22"/>
                <w:szCs w:val="22"/>
                <w:u w:val="single"/>
                <w:lang w:val="eu-ES"/>
              </w:rPr>
              <w:t xml:space="preserve">Seigarrena. – </w:t>
            </w:r>
            <w:r w:rsidRPr="005B3E2C">
              <w:rPr>
                <w:sz w:val="22"/>
                <w:szCs w:val="22"/>
                <w:u w:val="single"/>
                <w:lang w:val="eu-ES"/>
              </w:rPr>
              <w:t>Testu artikulatuaren idazketa elebiduna.</w:t>
            </w:r>
          </w:p>
          <w:p w14:paraId="76EA8E5F" w14:textId="77777777" w:rsidR="004F0E70" w:rsidRPr="005B3E2C" w:rsidRDefault="004F0E70" w:rsidP="001677F2">
            <w:pPr>
              <w:ind w:left="170"/>
              <w:jc w:val="both"/>
              <w:rPr>
                <w:sz w:val="22"/>
                <w:szCs w:val="22"/>
                <w:lang w:val="eu-ES"/>
              </w:rPr>
            </w:pPr>
          </w:p>
          <w:p w14:paraId="6C44E773" w14:textId="77777777" w:rsidR="0027725B" w:rsidRDefault="00F702AE" w:rsidP="00F702AE">
            <w:pPr>
              <w:jc w:val="both"/>
              <w:rPr>
                <w:sz w:val="22"/>
                <w:szCs w:val="22"/>
                <w:lang w:val="eu-ES"/>
              </w:rPr>
            </w:pPr>
            <w:r w:rsidRPr="005B3E2C">
              <w:rPr>
                <w:sz w:val="22"/>
                <w:szCs w:val="22"/>
                <w:lang w:val="eu-ES"/>
              </w:rPr>
              <w:t>Euskararen Erabilera Normalizatzeko azaroaren 24ko 10/1982 Oinarrizko Legearen 8.1 artikuluaren eta 6/2022 Legearen 14.5 artikuluaren arabera, testua bi hizkuntzetan idatzi behar da, eta bi hizkuntzen berdintasuna bermatu hizkuntza-bertsioak egiteko orduan, araua idazteko prozesu osoan. Testuak bi hizkuntzetan idatzita egon beharko du, aldez aurreko onarpena jaso eta instrukzio-fasean izapidetu aurretik.</w:t>
            </w:r>
          </w:p>
          <w:p w14:paraId="7D55B4B9" w14:textId="2A70148D" w:rsidR="004F0E70" w:rsidRPr="005B3E2C" w:rsidRDefault="00F702AE" w:rsidP="00F702AE">
            <w:pPr>
              <w:jc w:val="both"/>
              <w:rPr>
                <w:sz w:val="22"/>
                <w:szCs w:val="22"/>
                <w:lang w:val="eu-ES"/>
              </w:rPr>
            </w:pPr>
            <w:r w:rsidRPr="005B3E2C">
              <w:rPr>
                <w:sz w:val="22"/>
                <w:szCs w:val="22"/>
                <w:lang w:val="eu-ES"/>
              </w:rPr>
              <w:br/>
              <w:t>Era berean, eta 6/2022 Legearen 27.3 artikuluaren arabera, behin betiko onartu eta Euskal Herriko Agintaritzaren Aldizkarian argitaratuko diren euskarazko eta gaztelaniazko testu artikulatuen zehaztasuna eta baliokidetasuna bermatzeko, IVAPeko Itzultzaile Zerbitzu Ofizialak ziurtagiri bat jaulkiko du argitaratu aurretik, euskarazko eta gaztelaniazko bertsioak zehatzak eta baliokideak direla egiaztatzeko.</w:t>
            </w:r>
          </w:p>
          <w:p w14:paraId="46CFC0CA" w14:textId="77777777" w:rsidR="00F702AE" w:rsidRPr="005B3E2C" w:rsidRDefault="00F702AE" w:rsidP="004F0E70">
            <w:pPr>
              <w:jc w:val="both"/>
              <w:rPr>
                <w:b/>
                <w:bCs/>
                <w:sz w:val="22"/>
                <w:szCs w:val="22"/>
                <w:u w:val="single"/>
                <w:lang w:val="eu-ES"/>
              </w:rPr>
            </w:pPr>
          </w:p>
          <w:p w14:paraId="7859272C" w14:textId="77777777" w:rsidR="003C6F51" w:rsidRPr="005B3E2C" w:rsidRDefault="003C6F51" w:rsidP="004F0E70">
            <w:pPr>
              <w:jc w:val="both"/>
              <w:rPr>
                <w:b/>
                <w:bCs/>
                <w:sz w:val="22"/>
                <w:szCs w:val="22"/>
                <w:u w:val="single"/>
                <w:lang w:val="eu-ES"/>
              </w:rPr>
            </w:pPr>
            <w:r w:rsidRPr="005B3E2C">
              <w:rPr>
                <w:b/>
                <w:bCs/>
                <w:sz w:val="22"/>
                <w:szCs w:val="22"/>
                <w:u w:val="single"/>
                <w:lang w:val="eu-ES"/>
              </w:rPr>
              <w:t xml:space="preserve">Zazpigarrena. – </w:t>
            </w:r>
            <w:r w:rsidRPr="005B3E2C">
              <w:rPr>
                <w:sz w:val="22"/>
                <w:szCs w:val="22"/>
                <w:u w:val="single"/>
                <w:lang w:val="eu-ES"/>
              </w:rPr>
              <w:t>Espedientea izapidetzea.</w:t>
            </w:r>
          </w:p>
          <w:p w14:paraId="2BC01E56" w14:textId="01805E9F" w:rsidR="004F0E70" w:rsidRPr="005B3E2C" w:rsidRDefault="003C6F51" w:rsidP="004F0E70">
            <w:pPr>
              <w:jc w:val="both"/>
              <w:rPr>
                <w:sz w:val="22"/>
                <w:szCs w:val="22"/>
                <w:lang w:val="eu-ES"/>
              </w:rPr>
            </w:pPr>
            <w:r w:rsidRPr="005B3E2C">
              <w:rPr>
                <w:b/>
                <w:bCs/>
                <w:sz w:val="22"/>
                <w:szCs w:val="22"/>
                <w:u w:val="single"/>
                <w:lang w:val="eu-ES"/>
              </w:rPr>
              <w:br/>
            </w:r>
            <w:r w:rsidRPr="005B3E2C">
              <w:rPr>
                <w:sz w:val="22"/>
                <w:szCs w:val="22"/>
                <w:lang w:val="eu-ES"/>
              </w:rPr>
              <w:t>Araubide Juridikoaren Zuzendaritza arduratuko da espedientea izapidetzeaz.</w:t>
            </w:r>
          </w:p>
          <w:p w14:paraId="419B650C" w14:textId="77777777" w:rsidR="003C6F51" w:rsidRPr="005B3E2C" w:rsidRDefault="003C6F51" w:rsidP="004F0E70">
            <w:pPr>
              <w:jc w:val="both"/>
              <w:rPr>
                <w:sz w:val="22"/>
                <w:szCs w:val="22"/>
                <w:lang w:val="eu-ES"/>
              </w:rPr>
            </w:pPr>
          </w:p>
          <w:p w14:paraId="735C1ADA" w14:textId="77777777" w:rsidR="005B3E2C" w:rsidRPr="005B3E2C" w:rsidRDefault="005B3E2C" w:rsidP="005B3E2C">
            <w:pPr>
              <w:autoSpaceDE w:val="0"/>
              <w:autoSpaceDN w:val="0"/>
              <w:adjustRightInd w:val="0"/>
              <w:jc w:val="both"/>
              <w:rPr>
                <w:sz w:val="22"/>
                <w:szCs w:val="22"/>
                <w:u w:val="single"/>
                <w:lang w:val="eu-ES"/>
              </w:rPr>
            </w:pPr>
            <w:r w:rsidRPr="005B3E2C">
              <w:rPr>
                <w:b/>
                <w:bCs/>
                <w:sz w:val="22"/>
                <w:szCs w:val="22"/>
                <w:u w:val="single"/>
                <w:lang w:val="eu-ES"/>
              </w:rPr>
              <w:t xml:space="preserve">Zortzigarrena. – </w:t>
            </w:r>
            <w:r w:rsidRPr="005B3E2C">
              <w:rPr>
                <w:sz w:val="22"/>
                <w:szCs w:val="22"/>
                <w:u w:val="single"/>
                <w:lang w:val="eu-ES"/>
              </w:rPr>
              <w:t>Dekretu-proiektua onartzea eta argitaratzea.</w:t>
            </w:r>
          </w:p>
          <w:p w14:paraId="4CAF7B03" w14:textId="2F7F0ECA" w:rsidR="004F0E70" w:rsidRPr="005B3E2C" w:rsidRDefault="005B3E2C" w:rsidP="005B3E2C">
            <w:pPr>
              <w:autoSpaceDE w:val="0"/>
              <w:autoSpaceDN w:val="0"/>
              <w:adjustRightInd w:val="0"/>
              <w:jc w:val="both"/>
              <w:rPr>
                <w:sz w:val="22"/>
                <w:szCs w:val="22"/>
                <w:lang w:val="eu-ES"/>
              </w:rPr>
            </w:pPr>
            <w:r w:rsidRPr="005B3E2C">
              <w:rPr>
                <w:b/>
                <w:bCs/>
                <w:sz w:val="22"/>
                <w:szCs w:val="22"/>
                <w:u w:val="single"/>
                <w:lang w:val="eu-ES"/>
              </w:rPr>
              <w:br/>
            </w:r>
            <w:r w:rsidRPr="005B3E2C">
              <w:rPr>
                <w:sz w:val="22"/>
                <w:szCs w:val="22"/>
                <w:lang w:val="eu-ES"/>
              </w:rPr>
              <w:t>Ezarritako prozedura amaitu ondoren, Gobernu Kontseiluak behin betiko onartu beharko du dekretu-proiektua, eta, ondoren, Euskal Herriko Agintaritzaren Aldizkarian argitaratu beharko da. (Jaurlaritzari buruzko ekainaren 30eko 7/1981 Legearen 18. artikulua).</w:t>
            </w:r>
          </w:p>
          <w:p w14:paraId="030F1209" w14:textId="77777777" w:rsidR="004F0E70" w:rsidRPr="005B3E2C" w:rsidRDefault="004F0E70" w:rsidP="001677F2">
            <w:pPr>
              <w:autoSpaceDE w:val="0"/>
              <w:autoSpaceDN w:val="0"/>
              <w:adjustRightInd w:val="0"/>
              <w:ind w:left="170"/>
              <w:jc w:val="both"/>
              <w:rPr>
                <w:sz w:val="22"/>
                <w:szCs w:val="22"/>
                <w:lang w:val="eu-ES"/>
              </w:rPr>
            </w:pPr>
          </w:p>
        </w:tc>
      </w:tr>
    </w:tbl>
    <w:p w14:paraId="47942E8A" w14:textId="77777777" w:rsidR="004F0E70" w:rsidRPr="005B3E2C" w:rsidRDefault="004F0E70" w:rsidP="004F0E70">
      <w:pPr>
        <w:rPr>
          <w:lang w:val="eu-ES"/>
        </w:rPr>
      </w:pPr>
    </w:p>
    <w:p w14:paraId="1ACA410C" w14:textId="77777777" w:rsidR="004F0E70" w:rsidRPr="005B3E2C" w:rsidRDefault="004F0E70" w:rsidP="004F0E70">
      <w:pPr>
        <w:rPr>
          <w:lang w:val="eu-ES"/>
        </w:rPr>
      </w:pPr>
    </w:p>
    <w:p w14:paraId="5C2E25D3" w14:textId="77777777" w:rsidR="004F0E70" w:rsidRPr="005B3E2C" w:rsidRDefault="004F0E70" w:rsidP="004F0E70">
      <w:pPr>
        <w:rPr>
          <w:lang w:val="eu-ES"/>
        </w:rPr>
      </w:pPr>
    </w:p>
    <w:p w14:paraId="716DFFE4" w14:textId="77777777" w:rsidR="004F0E70" w:rsidRPr="005B3E2C" w:rsidRDefault="004F0E70" w:rsidP="004F0E70">
      <w:pPr>
        <w:rPr>
          <w:lang w:val="eu-ES"/>
        </w:rPr>
      </w:pPr>
    </w:p>
    <w:p w14:paraId="23FED1C7" w14:textId="77777777" w:rsidR="004F0E70" w:rsidRPr="005B3E2C" w:rsidRDefault="004F0E70" w:rsidP="004F0E70">
      <w:pPr>
        <w:jc w:val="center"/>
        <w:rPr>
          <w:rFonts w:ascii="Arial" w:hAnsi="Arial" w:cs="Arial"/>
          <w:sz w:val="20"/>
          <w:lang w:val="eu-ES"/>
        </w:rPr>
      </w:pPr>
      <w:r w:rsidRPr="005B3E2C">
        <w:rPr>
          <w:rFonts w:ascii="Arial" w:hAnsi="Arial" w:cs="Arial"/>
          <w:sz w:val="20"/>
          <w:lang w:val="eu-ES"/>
        </w:rPr>
        <w:t>Vitoria-Gasteizen, sinadura egunean.</w:t>
      </w:r>
    </w:p>
    <w:p w14:paraId="01C29431" w14:textId="77777777" w:rsidR="004F0E70" w:rsidRPr="005B3E2C" w:rsidRDefault="004F0E70" w:rsidP="004F0E70">
      <w:pPr>
        <w:jc w:val="center"/>
        <w:rPr>
          <w:rFonts w:ascii="Arial" w:hAnsi="Arial" w:cs="Arial"/>
          <w:sz w:val="20"/>
          <w:lang w:val="eu-ES"/>
        </w:rPr>
      </w:pPr>
    </w:p>
    <w:p w14:paraId="20BBC790" w14:textId="77777777" w:rsidR="004F0E70" w:rsidRPr="005B3E2C" w:rsidRDefault="004F0E70" w:rsidP="004F0E70">
      <w:pPr>
        <w:jc w:val="center"/>
        <w:rPr>
          <w:rFonts w:ascii="Arial" w:hAnsi="Arial" w:cs="Arial"/>
          <w:sz w:val="20"/>
          <w:lang w:val="eu-ES"/>
        </w:rPr>
      </w:pPr>
      <w:r w:rsidRPr="005B3E2C">
        <w:rPr>
          <w:rFonts w:ascii="Arial" w:hAnsi="Arial" w:cs="Arial"/>
          <w:sz w:val="20"/>
          <w:lang w:val="eu-ES"/>
        </w:rPr>
        <w:t>Lehendakaria</w:t>
      </w:r>
    </w:p>
    <w:p w14:paraId="5EE395C9" w14:textId="77777777" w:rsidR="004F0E70" w:rsidRPr="005B3E2C" w:rsidRDefault="004F0E70" w:rsidP="004F0E70">
      <w:pPr>
        <w:jc w:val="center"/>
        <w:rPr>
          <w:rFonts w:ascii="Arial" w:hAnsi="Arial" w:cs="Arial"/>
          <w:sz w:val="20"/>
          <w:lang w:val="eu-ES"/>
        </w:rPr>
      </w:pPr>
      <w:r w:rsidRPr="005B3E2C">
        <w:rPr>
          <w:rFonts w:ascii="Arial" w:hAnsi="Arial" w:cs="Arial"/>
          <w:sz w:val="20"/>
          <w:lang w:val="eu-ES"/>
        </w:rPr>
        <w:t xml:space="preserve">Imanol </w:t>
      </w:r>
      <w:proofErr w:type="spellStart"/>
      <w:r w:rsidRPr="005B3E2C">
        <w:rPr>
          <w:rFonts w:ascii="Arial" w:hAnsi="Arial" w:cs="Arial"/>
          <w:sz w:val="20"/>
          <w:lang w:val="eu-ES"/>
        </w:rPr>
        <w:t>Pradales</w:t>
      </w:r>
      <w:proofErr w:type="spellEnd"/>
      <w:r w:rsidRPr="005B3E2C">
        <w:rPr>
          <w:rFonts w:ascii="Arial" w:hAnsi="Arial" w:cs="Arial"/>
          <w:sz w:val="20"/>
          <w:lang w:val="eu-ES"/>
        </w:rPr>
        <w:t xml:space="preserve"> Gil</w:t>
      </w:r>
    </w:p>
    <w:p w14:paraId="7F326E84" w14:textId="77777777" w:rsidR="00D748F4" w:rsidRPr="005B3E2C" w:rsidRDefault="00D748F4">
      <w:pPr>
        <w:rPr>
          <w:lang w:val="eu-ES"/>
        </w:rPr>
      </w:pPr>
    </w:p>
    <w:sectPr w:rsidR="00D748F4" w:rsidRPr="005B3E2C" w:rsidSect="004F0E70">
      <w:headerReference w:type="default" r:id="rId6"/>
      <w:footerReference w:type="default" r:id="rId7"/>
      <w:headerReference w:type="first" r:id="rId8"/>
      <w:footerReference w:type="first" r:id="rId9"/>
      <w:pgSz w:w="11907" w:h="16840"/>
      <w:pgMar w:top="1417" w:right="1701" w:bottom="1417" w:left="1701" w:header="720" w:footer="80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22AF3" w14:textId="77777777" w:rsidR="00817FC5" w:rsidRDefault="00817FC5">
      <w:r>
        <w:separator/>
      </w:r>
    </w:p>
  </w:endnote>
  <w:endnote w:type="continuationSeparator" w:id="0">
    <w:p w14:paraId="29C01B8A" w14:textId="77777777" w:rsidR="00817FC5" w:rsidRDefault="00817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87789"/>
      <w:docPartObj>
        <w:docPartGallery w:val="Page Numbers (Bottom of Page)"/>
        <w:docPartUnique/>
      </w:docPartObj>
    </w:sdtPr>
    <w:sdtEndPr/>
    <w:sdtContent>
      <w:p w14:paraId="02824FCB" w14:textId="77777777" w:rsidR="004F0E70" w:rsidRDefault="004F0E70">
        <w:pPr>
          <w:pStyle w:val="Piedepgina"/>
          <w:jc w:val="right"/>
        </w:pPr>
        <w:r>
          <w:fldChar w:fldCharType="begin"/>
        </w:r>
        <w:r>
          <w:instrText>PAGE   \* MERGEFORMAT</w:instrText>
        </w:r>
        <w:r>
          <w:fldChar w:fldCharType="separate"/>
        </w:r>
        <w:r w:rsidRPr="005E7BE6">
          <w:rPr>
            <w:noProof/>
            <w:lang w:val="eu-ES"/>
          </w:rPr>
          <w:t>9</w:t>
        </w:r>
        <w:r>
          <w:fldChar w:fldCharType="end"/>
        </w:r>
      </w:p>
    </w:sdtContent>
  </w:sdt>
  <w:p w14:paraId="5C3BCB54" w14:textId="77777777" w:rsidR="004F0E70" w:rsidRDefault="004F0E7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8084491"/>
      <w:docPartObj>
        <w:docPartGallery w:val="Page Numbers (Bottom of Page)"/>
        <w:docPartUnique/>
      </w:docPartObj>
    </w:sdtPr>
    <w:sdtEndPr/>
    <w:sdtContent>
      <w:p w14:paraId="238317E3" w14:textId="77777777" w:rsidR="004F0E70" w:rsidRDefault="004F0E70">
        <w:pPr>
          <w:pStyle w:val="Piedepgina"/>
          <w:jc w:val="right"/>
        </w:pPr>
        <w:r>
          <w:fldChar w:fldCharType="begin"/>
        </w:r>
        <w:r>
          <w:instrText>PAGE   \* MERGEFORMAT</w:instrText>
        </w:r>
        <w:r>
          <w:fldChar w:fldCharType="separate"/>
        </w:r>
        <w:r w:rsidRPr="005E7BE6">
          <w:rPr>
            <w:noProof/>
            <w:lang w:val="eu-ES"/>
          </w:rPr>
          <w:t>1</w:t>
        </w:r>
        <w:r>
          <w:fldChar w:fldCharType="end"/>
        </w:r>
      </w:p>
    </w:sdtContent>
  </w:sdt>
  <w:p w14:paraId="77381A6E" w14:textId="77777777" w:rsidR="004F0E70" w:rsidRPr="008C73AE" w:rsidRDefault="004F0E70">
    <w:pPr>
      <w:pStyle w:val="Piedepgina"/>
      <w:tabs>
        <w:tab w:val="clear" w:pos="9071"/>
      </w:tabs>
      <w:jc w:val="center"/>
      <w:rPr>
        <w:rFonts w:ascii="Arial" w:hAnsi="Arial"/>
        <w:sz w:val="13"/>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C38DE" w14:textId="77777777" w:rsidR="00817FC5" w:rsidRDefault="00817FC5">
      <w:r>
        <w:separator/>
      </w:r>
    </w:p>
  </w:footnote>
  <w:footnote w:type="continuationSeparator" w:id="0">
    <w:p w14:paraId="01628E73" w14:textId="77777777" w:rsidR="00817FC5" w:rsidRDefault="00817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21BB3" w14:textId="77777777" w:rsidR="004F0E70" w:rsidRDefault="004F0E70">
    <w:pPr>
      <w:pStyle w:val="Encabezado"/>
      <w:jc w:val="center"/>
    </w:pPr>
    <w:r>
      <w:rPr>
        <w:noProof/>
      </w:rPr>
      <w:object w:dxaOrig="11549" w:dyaOrig="1410" w14:anchorId="0F0AF3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9pt;height:23.75pt" fillcolor="window">
          <v:imagedata r:id="rId1" o:title=""/>
        </v:shape>
        <o:OLEObject Type="Embed" ProgID="MSPhotoEd.3" ShapeID="_x0000_i1025" DrawAspect="Content" ObjectID="_1845454840" r:id="rId2"/>
      </w:object>
    </w:r>
  </w:p>
  <w:p w14:paraId="4F4D8DC6" w14:textId="77777777" w:rsidR="004F0E70" w:rsidRDefault="004F0E7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9B9B1" w14:textId="77777777" w:rsidR="004F0E70" w:rsidRDefault="004F0E70">
    <w:pPr>
      <w:pStyle w:val="Encabezado"/>
      <w:tabs>
        <w:tab w:val="right" w:pos="9923"/>
      </w:tabs>
      <w:ind w:right="-142"/>
      <w:jc w:val="center"/>
      <w:rPr>
        <w:rFonts w:ascii="Arial" w:hAnsi="Arial"/>
        <w:sz w:val="16"/>
      </w:rPr>
    </w:pPr>
    <w:r>
      <w:rPr>
        <w:rFonts w:ascii="Arial" w:hAnsi="Arial"/>
        <w:noProof/>
        <w:sz w:val="16"/>
      </w:rPr>
      <w:object w:dxaOrig="18028" w:dyaOrig="2235" w14:anchorId="32286E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7.5pt;height:35.3pt" fillcolor="window">
          <v:imagedata r:id="rId1" o:title=""/>
        </v:shape>
        <o:OLEObject Type="Embed" ProgID="MSPhotoEd.3" ShapeID="_x0000_i1026" DrawAspect="Content" ObjectID="_1845454841" r:id="rId2"/>
      </w:object>
    </w:r>
  </w:p>
  <w:p w14:paraId="2495845C" w14:textId="07940CFC" w:rsidR="004F0E70" w:rsidRDefault="006C6459" w:rsidP="009B3E3F">
    <w:pPr>
      <w:pStyle w:val="Encabezado"/>
      <w:tabs>
        <w:tab w:val="right" w:pos="9923"/>
      </w:tabs>
      <w:ind w:right="-142"/>
      <w:rPr>
        <w:rFonts w:ascii="Arial" w:hAnsi="Arial"/>
        <w:sz w:val="16"/>
      </w:rPr>
    </w:pPr>
    <w:r>
      <w:rPr>
        <w:rFonts w:ascii="Arial" w:hAnsi="Arial"/>
        <w:sz w:val="16"/>
      </w:rPr>
      <w:t xml:space="preserve">                                 </w:t>
    </w:r>
    <w:r w:rsidR="006E0C4F">
      <w:rPr>
        <w:rFonts w:ascii="Arial" w:hAnsi="Arial"/>
        <w:noProof/>
        <w:sz w:val="16"/>
      </w:rPr>
      <w:drawing>
        <wp:inline distT="0" distB="0" distL="0" distR="0" wp14:anchorId="747F0DAB" wp14:editId="2BEA53E4">
          <wp:extent cx="1730471" cy="163901"/>
          <wp:effectExtent l="0" t="0" r="0" b="7620"/>
          <wp:docPr id="15850298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
                    <a:extLst>
                      <a:ext uri="{28A0092B-C50C-407E-A947-70E740481C1C}">
                        <a14:useLocalDpi xmlns:a14="http://schemas.microsoft.com/office/drawing/2010/main" val="0"/>
                      </a:ext>
                    </a:extLst>
                  </a:blip>
                  <a:srcRect b="69811"/>
                  <a:stretch>
                    <a:fillRect/>
                  </a:stretch>
                </pic:blipFill>
                <pic:spPr bwMode="auto">
                  <a:xfrm>
                    <a:off x="0" y="0"/>
                    <a:ext cx="1756228" cy="166341"/>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sz w:val="16"/>
      </w:rPr>
      <w:t xml:space="preserve">               </w:t>
    </w:r>
    <w:r>
      <w:rPr>
        <w:rFonts w:ascii="Arial" w:hAnsi="Arial"/>
        <w:noProof/>
        <w:sz w:val="16"/>
      </w:rPr>
      <w:drawing>
        <wp:inline distT="0" distB="0" distL="0" distR="0" wp14:anchorId="12E6933C" wp14:editId="58C82253">
          <wp:extent cx="1608408" cy="155275"/>
          <wp:effectExtent l="0" t="0" r="0" b="0"/>
          <wp:docPr id="117631766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
                    <a:extLst>
                      <a:ext uri="{28A0092B-C50C-407E-A947-70E740481C1C}">
                        <a14:useLocalDpi xmlns:a14="http://schemas.microsoft.com/office/drawing/2010/main" val="0"/>
                      </a:ext>
                    </a:extLst>
                  </a:blip>
                  <a:srcRect b="70468"/>
                  <a:stretch>
                    <a:fillRect/>
                  </a:stretch>
                </pic:blipFill>
                <pic:spPr bwMode="auto">
                  <a:xfrm>
                    <a:off x="0" y="0"/>
                    <a:ext cx="1611547" cy="15557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sz w:val="16"/>
      </w:rPr>
      <w:t xml:space="preserve">                </w:t>
    </w:r>
  </w:p>
  <w:p w14:paraId="170374B9" w14:textId="77777777" w:rsidR="004F0E70" w:rsidRDefault="004F0E70" w:rsidP="00BF219E">
    <w:pPr>
      <w:pStyle w:val="Encabezado"/>
      <w:tabs>
        <w:tab w:val="right" w:pos="9923"/>
      </w:tabs>
      <w:ind w:right="-142"/>
      <w:rPr>
        <w:rFonts w:ascii="Arial" w:hAnsi="Arial"/>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E70"/>
    <w:rsid w:val="000555F2"/>
    <w:rsid w:val="00074E0C"/>
    <w:rsid w:val="000A0608"/>
    <w:rsid w:val="000A692C"/>
    <w:rsid w:val="001A5581"/>
    <w:rsid w:val="00267E22"/>
    <w:rsid w:val="0027725B"/>
    <w:rsid w:val="002E1E82"/>
    <w:rsid w:val="00326A13"/>
    <w:rsid w:val="003C6F51"/>
    <w:rsid w:val="003E0302"/>
    <w:rsid w:val="003F5FA2"/>
    <w:rsid w:val="004A11F6"/>
    <w:rsid w:val="004A5BBD"/>
    <w:rsid w:val="004F0E70"/>
    <w:rsid w:val="0056710C"/>
    <w:rsid w:val="005B3E2C"/>
    <w:rsid w:val="0067358F"/>
    <w:rsid w:val="006854AC"/>
    <w:rsid w:val="006B4153"/>
    <w:rsid w:val="006C6459"/>
    <w:rsid w:val="006D08C6"/>
    <w:rsid w:val="006E0C4F"/>
    <w:rsid w:val="00707F58"/>
    <w:rsid w:val="0079131C"/>
    <w:rsid w:val="007A0419"/>
    <w:rsid w:val="007B3426"/>
    <w:rsid w:val="007B550A"/>
    <w:rsid w:val="007F0347"/>
    <w:rsid w:val="007F0808"/>
    <w:rsid w:val="00817FC5"/>
    <w:rsid w:val="00883365"/>
    <w:rsid w:val="008B79B3"/>
    <w:rsid w:val="00946321"/>
    <w:rsid w:val="009B3E3F"/>
    <w:rsid w:val="009E6F81"/>
    <w:rsid w:val="00A21B7A"/>
    <w:rsid w:val="00A90E8A"/>
    <w:rsid w:val="00AB232B"/>
    <w:rsid w:val="00AC4312"/>
    <w:rsid w:val="00D35B5E"/>
    <w:rsid w:val="00D748F4"/>
    <w:rsid w:val="00D74AAB"/>
    <w:rsid w:val="00DD0570"/>
    <w:rsid w:val="00E2648B"/>
    <w:rsid w:val="00E452DD"/>
    <w:rsid w:val="00E61910"/>
    <w:rsid w:val="00EB185D"/>
    <w:rsid w:val="00EB3BC4"/>
    <w:rsid w:val="00F25B9F"/>
    <w:rsid w:val="00F34B80"/>
    <w:rsid w:val="00F35FE4"/>
    <w:rsid w:val="00F47BBA"/>
    <w:rsid w:val="00F702AE"/>
    <w:rsid w:val="00FD74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1140"/>
  <w15:chartTrackingRefBased/>
  <w15:docId w15:val="{892BEE84-B799-4887-8B77-B16329A3A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E70"/>
    <w:pPr>
      <w:spacing w:after="0" w:line="240" w:lineRule="auto"/>
    </w:pPr>
    <w:rPr>
      <w:rFonts w:ascii="Times New Roman" w:eastAsia="Times New Roman" w:hAnsi="Times New Roman" w:cs="Times New Roman"/>
      <w:kern w:val="0"/>
      <w:szCs w:val="20"/>
      <w:lang w:val="es-ES_tradnl" w:eastAsia="es-ES_tradnl"/>
      <w14:ligatures w14:val="none"/>
    </w:rPr>
  </w:style>
  <w:style w:type="paragraph" w:styleId="Ttulo1">
    <w:name w:val="heading 1"/>
    <w:basedOn w:val="Normal"/>
    <w:next w:val="Normal"/>
    <w:link w:val="Ttulo1Car"/>
    <w:uiPriority w:val="9"/>
    <w:qFormat/>
    <w:rsid w:val="004F0E7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ES" w:eastAsia="en-US"/>
      <w14:ligatures w14:val="standardContextual"/>
    </w:rPr>
  </w:style>
  <w:style w:type="paragraph" w:styleId="Ttulo2">
    <w:name w:val="heading 2"/>
    <w:basedOn w:val="Normal"/>
    <w:next w:val="Normal"/>
    <w:link w:val="Ttulo2Car"/>
    <w:uiPriority w:val="9"/>
    <w:semiHidden/>
    <w:unhideWhenUsed/>
    <w:qFormat/>
    <w:rsid w:val="004F0E7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ES" w:eastAsia="en-US"/>
      <w14:ligatures w14:val="standardContextual"/>
    </w:rPr>
  </w:style>
  <w:style w:type="paragraph" w:styleId="Ttulo3">
    <w:name w:val="heading 3"/>
    <w:basedOn w:val="Normal"/>
    <w:next w:val="Normal"/>
    <w:link w:val="Ttulo3Car"/>
    <w:uiPriority w:val="9"/>
    <w:semiHidden/>
    <w:unhideWhenUsed/>
    <w:qFormat/>
    <w:rsid w:val="004F0E7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s-ES" w:eastAsia="en-US"/>
      <w14:ligatures w14:val="standardContextual"/>
    </w:rPr>
  </w:style>
  <w:style w:type="paragraph" w:styleId="Ttulo4">
    <w:name w:val="heading 4"/>
    <w:basedOn w:val="Normal"/>
    <w:next w:val="Normal"/>
    <w:link w:val="Ttulo4Car"/>
    <w:uiPriority w:val="9"/>
    <w:semiHidden/>
    <w:unhideWhenUsed/>
    <w:qFormat/>
    <w:rsid w:val="004F0E70"/>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lang w:val="es-ES" w:eastAsia="en-US"/>
      <w14:ligatures w14:val="standardContextual"/>
    </w:rPr>
  </w:style>
  <w:style w:type="paragraph" w:styleId="Ttulo5">
    <w:name w:val="heading 5"/>
    <w:basedOn w:val="Normal"/>
    <w:next w:val="Normal"/>
    <w:link w:val="Ttulo5Car"/>
    <w:uiPriority w:val="9"/>
    <w:semiHidden/>
    <w:unhideWhenUsed/>
    <w:qFormat/>
    <w:rsid w:val="004F0E70"/>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lang w:val="es-ES" w:eastAsia="en-US"/>
      <w14:ligatures w14:val="standardContextual"/>
    </w:rPr>
  </w:style>
  <w:style w:type="paragraph" w:styleId="Ttulo6">
    <w:name w:val="heading 6"/>
    <w:basedOn w:val="Normal"/>
    <w:next w:val="Normal"/>
    <w:link w:val="Ttulo6Car"/>
    <w:uiPriority w:val="9"/>
    <w:semiHidden/>
    <w:unhideWhenUsed/>
    <w:qFormat/>
    <w:rsid w:val="004F0E70"/>
    <w:pPr>
      <w:keepNext/>
      <w:keepLines/>
      <w:spacing w:before="40" w:line="278" w:lineRule="auto"/>
      <w:outlineLvl w:val="5"/>
    </w:pPr>
    <w:rPr>
      <w:rFonts w:asciiTheme="minorHAnsi" w:eastAsiaTheme="majorEastAsia" w:hAnsiTheme="minorHAnsi" w:cstheme="majorBidi"/>
      <w:i/>
      <w:iCs/>
      <w:color w:val="595959" w:themeColor="text1" w:themeTint="A6"/>
      <w:kern w:val="2"/>
      <w:szCs w:val="24"/>
      <w:lang w:val="es-ES" w:eastAsia="en-US"/>
      <w14:ligatures w14:val="standardContextual"/>
    </w:rPr>
  </w:style>
  <w:style w:type="paragraph" w:styleId="Ttulo7">
    <w:name w:val="heading 7"/>
    <w:basedOn w:val="Normal"/>
    <w:next w:val="Normal"/>
    <w:link w:val="Ttulo7Car"/>
    <w:uiPriority w:val="9"/>
    <w:semiHidden/>
    <w:unhideWhenUsed/>
    <w:qFormat/>
    <w:rsid w:val="004F0E70"/>
    <w:pPr>
      <w:keepNext/>
      <w:keepLines/>
      <w:spacing w:before="40" w:line="278" w:lineRule="auto"/>
      <w:outlineLvl w:val="6"/>
    </w:pPr>
    <w:rPr>
      <w:rFonts w:asciiTheme="minorHAnsi" w:eastAsiaTheme="majorEastAsia" w:hAnsiTheme="minorHAnsi" w:cstheme="majorBidi"/>
      <w:color w:val="595959" w:themeColor="text1" w:themeTint="A6"/>
      <w:kern w:val="2"/>
      <w:szCs w:val="24"/>
      <w:lang w:val="es-ES" w:eastAsia="en-US"/>
      <w14:ligatures w14:val="standardContextual"/>
    </w:rPr>
  </w:style>
  <w:style w:type="paragraph" w:styleId="Ttulo8">
    <w:name w:val="heading 8"/>
    <w:basedOn w:val="Normal"/>
    <w:next w:val="Normal"/>
    <w:link w:val="Ttulo8Car"/>
    <w:uiPriority w:val="9"/>
    <w:semiHidden/>
    <w:unhideWhenUsed/>
    <w:qFormat/>
    <w:rsid w:val="004F0E70"/>
    <w:pPr>
      <w:keepNext/>
      <w:keepLines/>
      <w:spacing w:line="278" w:lineRule="auto"/>
      <w:outlineLvl w:val="7"/>
    </w:pPr>
    <w:rPr>
      <w:rFonts w:asciiTheme="minorHAnsi" w:eastAsiaTheme="majorEastAsia" w:hAnsiTheme="minorHAnsi" w:cstheme="majorBidi"/>
      <w:i/>
      <w:iCs/>
      <w:color w:val="272727" w:themeColor="text1" w:themeTint="D8"/>
      <w:kern w:val="2"/>
      <w:szCs w:val="24"/>
      <w:lang w:val="es-ES" w:eastAsia="en-US"/>
      <w14:ligatures w14:val="standardContextual"/>
    </w:rPr>
  </w:style>
  <w:style w:type="paragraph" w:styleId="Ttulo9">
    <w:name w:val="heading 9"/>
    <w:basedOn w:val="Normal"/>
    <w:next w:val="Normal"/>
    <w:link w:val="Ttulo9Car"/>
    <w:uiPriority w:val="9"/>
    <w:semiHidden/>
    <w:unhideWhenUsed/>
    <w:qFormat/>
    <w:rsid w:val="004F0E70"/>
    <w:pPr>
      <w:keepNext/>
      <w:keepLines/>
      <w:spacing w:line="278" w:lineRule="auto"/>
      <w:outlineLvl w:val="8"/>
    </w:pPr>
    <w:rPr>
      <w:rFonts w:asciiTheme="minorHAnsi" w:eastAsiaTheme="majorEastAsia" w:hAnsiTheme="minorHAnsi" w:cstheme="majorBidi"/>
      <w:color w:val="272727" w:themeColor="text1" w:themeTint="D8"/>
      <w:kern w:val="2"/>
      <w:szCs w:val="24"/>
      <w:lang w:val="es-ES"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F0E7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F0E7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F0E7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F0E7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F0E7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F0E7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F0E7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F0E7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F0E70"/>
    <w:rPr>
      <w:rFonts w:eastAsiaTheme="majorEastAsia" w:cstheme="majorBidi"/>
      <w:color w:val="272727" w:themeColor="text1" w:themeTint="D8"/>
    </w:rPr>
  </w:style>
  <w:style w:type="paragraph" w:styleId="Ttulo">
    <w:name w:val="Title"/>
    <w:basedOn w:val="Normal"/>
    <w:next w:val="Normal"/>
    <w:link w:val="TtuloCar"/>
    <w:uiPriority w:val="10"/>
    <w:qFormat/>
    <w:rsid w:val="004F0E70"/>
    <w:pPr>
      <w:spacing w:after="80"/>
      <w:contextualSpacing/>
    </w:pPr>
    <w:rPr>
      <w:rFonts w:asciiTheme="majorHAnsi" w:eastAsiaTheme="majorEastAsia" w:hAnsiTheme="majorHAnsi" w:cstheme="majorBidi"/>
      <w:spacing w:val="-10"/>
      <w:kern w:val="28"/>
      <w:sz w:val="56"/>
      <w:szCs w:val="56"/>
      <w:lang w:val="es-ES" w:eastAsia="en-US"/>
      <w14:ligatures w14:val="standardContextual"/>
    </w:rPr>
  </w:style>
  <w:style w:type="character" w:customStyle="1" w:styleId="TtuloCar">
    <w:name w:val="Título Car"/>
    <w:basedOn w:val="Fuentedeprrafopredeter"/>
    <w:link w:val="Ttulo"/>
    <w:uiPriority w:val="10"/>
    <w:rsid w:val="004F0E7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F0E7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s-ES" w:eastAsia="en-US"/>
      <w14:ligatures w14:val="standardContextual"/>
    </w:rPr>
  </w:style>
  <w:style w:type="character" w:customStyle="1" w:styleId="SubttuloCar">
    <w:name w:val="Subtítulo Car"/>
    <w:basedOn w:val="Fuentedeprrafopredeter"/>
    <w:link w:val="Subttulo"/>
    <w:uiPriority w:val="11"/>
    <w:rsid w:val="004F0E7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F0E70"/>
    <w:pPr>
      <w:spacing w:before="160" w:after="160" w:line="278" w:lineRule="auto"/>
      <w:jc w:val="center"/>
    </w:pPr>
    <w:rPr>
      <w:rFonts w:asciiTheme="minorHAnsi" w:eastAsiaTheme="minorHAnsi" w:hAnsiTheme="minorHAnsi" w:cstheme="minorBidi"/>
      <w:i/>
      <w:iCs/>
      <w:color w:val="404040" w:themeColor="text1" w:themeTint="BF"/>
      <w:kern w:val="2"/>
      <w:szCs w:val="24"/>
      <w:lang w:val="es-ES" w:eastAsia="en-US"/>
      <w14:ligatures w14:val="standardContextual"/>
    </w:rPr>
  </w:style>
  <w:style w:type="character" w:customStyle="1" w:styleId="CitaCar">
    <w:name w:val="Cita Car"/>
    <w:basedOn w:val="Fuentedeprrafopredeter"/>
    <w:link w:val="Cita"/>
    <w:uiPriority w:val="29"/>
    <w:rsid w:val="004F0E70"/>
    <w:rPr>
      <w:i/>
      <w:iCs/>
      <w:color w:val="404040" w:themeColor="text1" w:themeTint="BF"/>
    </w:rPr>
  </w:style>
  <w:style w:type="paragraph" w:styleId="Prrafodelista">
    <w:name w:val="List Paragraph"/>
    <w:basedOn w:val="Normal"/>
    <w:uiPriority w:val="34"/>
    <w:qFormat/>
    <w:rsid w:val="004F0E70"/>
    <w:pPr>
      <w:spacing w:after="160" w:line="278" w:lineRule="auto"/>
      <w:ind w:left="720"/>
      <w:contextualSpacing/>
    </w:pPr>
    <w:rPr>
      <w:rFonts w:asciiTheme="minorHAnsi" w:eastAsiaTheme="minorHAnsi" w:hAnsiTheme="minorHAnsi" w:cstheme="minorBidi"/>
      <w:kern w:val="2"/>
      <w:szCs w:val="24"/>
      <w:lang w:val="es-ES" w:eastAsia="en-US"/>
      <w14:ligatures w14:val="standardContextual"/>
    </w:rPr>
  </w:style>
  <w:style w:type="character" w:styleId="nfasisintenso">
    <w:name w:val="Intense Emphasis"/>
    <w:basedOn w:val="Fuentedeprrafopredeter"/>
    <w:uiPriority w:val="21"/>
    <w:qFormat/>
    <w:rsid w:val="004F0E70"/>
    <w:rPr>
      <w:i/>
      <w:iCs/>
      <w:color w:val="0F4761" w:themeColor="accent1" w:themeShade="BF"/>
    </w:rPr>
  </w:style>
  <w:style w:type="paragraph" w:styleId="Citadestacada">
    <w:name w:val="Intense Quote"/>
    <w:basedOn w:val="Normal"/>
    <w:next w:val="Normal"/>
    <w:link w:val="CitadestacadaCar"/>
    <w:uiPriority w:val="30"/>
    <w:qFormat/>
    <w:rsid w:val="004F0E7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val="es-ES" w:eastAsia="en-US"/>
      <w14:ligatures w14:val="standardContextual"/>
    </w:rPr>
  </w:style>
  <w:style w:type="character" w:customStyle="1" w:styleId="CitadestacadaCar">
    <w:name w:val="Cita destacada Car"/>
    <w:basedOn w:val="Fuentedeprrafopredeter"/>
    <w:link w:val="Citadestacada"/>
    <w:uiPriority w:val="30"/>
    <w:rsid w:val="004F0E70"/>
    <w:rPr>
      <w:i/>
      <w:iCs/>
      <w:color w:val="0F4761" w:themeColor="accent1" w:themeShade="BF"/>
    </w:rPr>
  </w:style>
  <w:style w:type="character" w:styleId="Referenciaintensa">
    <w:name w:val="Intense Reference"/>
    <w:basedOn w:val="Fuentedeprrafopredeter"/>
    <w:uiPriority w:val="32"/>
    <w:qFormat/>
    <w:rsid w:val="004F0E70"/>
    <w:rPr>
      <w:b/>
      <w:bCs/>
      <w:smallCaps/>
      <w:color w:val="0F4761" w:themeColor="accent1" w:themeShade="BF"/>
      <w:spacing w:val="5"/>
    </w:rPr>
  </w:style>
  <w:style w:type="paragraph" w:styleId="Piedepgina">
    <w:name w:val="footer"/>
    <w:basedOn w:val="Normal"/>
    <w:link w:val="PiedepginaCar"/>
    <w:uiPriority w:val="99"/>
    <w:rsid w:val="004F0E70"/>
    <w:pPr>
      <w:tabs>
        <w:tab w:val="center" w:pos="4819"/>
        <w:tab w:val="right" w:pos="9071"/>
      </w:tabs>
    </w:pPr>
  </w:style>
  <w:style w:type="character" w:customStyle="1" w:styleId="PiedepginaCar">
    <w:name w:val="Pie de página Car"/>
    <w:basedOn w:val="Fuentedeprrafopredeter"/>
    <w:link w:val="Piedepgina"/>
    <w:uiPriority w:val="99"/>
    <w:rsid w:val="004F0E70"/>
    <w:rPr>
      <w:rFonts w:ascii="Times New Roman" w:eastAsia="Times New Roman" w:hAnsi="Times New Roman" w:cs="Times New Roman"/>
      <w:kern w:val="0"/>
      <w:szCs w:val="20"/>
      <w:lang w:val="es-ES_tradnl" w:eastAsia="es-ES_tradnl"/>
      <w14:ligatures w14:val="none"/>
    </w:rPr>
  </w:style>
  <w:style w:type="paragraph" w:styleId="Encabezado">
    <w:name w:val="header"/>
    <w:basedOn w:val="Normal"/>
    <w:link w:val="EncabezadoCar"/>
    <w:rsid w:val="004F0E70"/>
    <w:pPr>
      <w:tabs>
        <w:tab w:val="center" w:pos="4819"/>
        <w:tab w:val="right" w:pos="9071"/>
      </w:tabs>
    </w:pPr>
  </w:style>
  <w:style w:type="character" w:customStyle="1" w:styleId="EncabezadoCar">
    <w:name w:val="Encabezado Car"/>
    <w:basedOn w:val="Fuentedeprrafopredeter"/>
    <w:link w:val="Encabezado"/>
    <w:rsid w:val="004F0E70"/>
    <w:rPr>
      <w:rFonts w:ascii="Times New Roman" w:eastAsia="Times New Roman" w:hAnsi="Times New Roman" w:cs="Times New Roman"/>
      <w:kern w:val="0"/>
      <w:szCs w:val="20"/>
      <w:lang w:val="es-ES_tradnl" w:eastAsia="es-ES_tradnl"/>
      <w14:ligatures w14:val="none"/>
    </w:rPr>
  </w:style>
  <w:style w:type="table" w:styleId="Tablaconcuadrcula">
    <w:name w:val="Table Grid"/>
    <w:basedOn w:val="Tablanormal"/>
    <w:rsid w:val="004F0E70"/>
    <w:pPr>
      <w:spacing w:after="0" w:line="240" w:lineRule="auto"/>
    </w:pPr>
    <w:rPr>
      <w:rFonts w:ascii="Times New Roman" w:eastAsia="Times New Roman" w:hAnsi="Times New Roman"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762599">
      <w:bodyDiv w:val="1"/>
      <w:marLeft w:val="0"/>
      <w:marRight w:val="0"/>
      <w:marTop w:val="0"/>
      <w:marBottom w:val="0"/>
      <w:divBdr>
        <w:top w:val="none" w:sz="0" w:space="0" w:color="auto"/>
        <w:left w:val="none" w:sz="0" w:space="0" w:color="auto"/>
        <w:bottom w:val="none" w:sz="0" w:space="0" w:color="auto"/>
        <w:right w:val="none" w:sz="0" w:space="0" w:color="auto"/>
      </w:divBdr>
      <w:divsChild>
        <w:div w:id="68843592">
          <w:marLeft w:val="-75"/>
          <w:marRight w:val="-75"/>
          <w:marTop w:val="0"/>
          <w:marBottom w:val="0"/>
          <w:divBdr>
            <w:top w:val="none" w:sz="0" w:space="0" w:color="auto"/>
            <w:left w:val="none" w:sz="0" w:space="0" w:color="auto"/>
            <w:bottom w:val="none" w:sz="0" w:space="0" w:color="auto"/>
            <w:right w:val="none" w:sz="0" w:space="0" w:color="auto"/>
          </w:divBdr>
          <w:divsChild>
            <w:div w:id="1790318961">
              <w:marLeft w:val="0"/>
              <w:marRight w:val="0"/>
              <w:marTop w:val="0"/>
              <w:marBottom w:val="0"/>
              <w:divBdr>
                <w:top w:val="none" w:sz="0" w:space="0" w:color="auto"/>
                <w:left w:val="none" w:sz="0" w:space="0" w:color="auto"/>
                <w:bottom w:val="none" w:sz="0" w:space="0" w:color="auto"/>
                <w:right w:val="none" w:sz="0" w:space="0" w:color="auto"/>
              </w:divBdr>
              <w:divsChild>
                <w:div w:id="1029532182">
                  <w:marLeft w:val="0"/>
                  <w:marRight w:val="0"/>
                  <w:marTop w:val="0"/>
                  <w:marBottom w:val="0"/>
                  <w:divBdr>
                    <w:top w:val="single" w:sz="6" w:space="0" w:color="CED4DA"/>
                    <w:left w:val="single" w:sz="6" w:space="0" w:color="CED4DA"/>
                    <w:bottom w:val="single" w:sz="6" w:space="0" w:color="CED4DA"/>
                    <w:right w:val="single" w:sz="6" w:space="0" w:color="CED4DA"/>
                  </w:divBdr>
                </w:div>
              </w:divsChild>
            </w:div>
          </w:divsChild>
        </w:div>
      </w:divsChild>
    </w:div>
    <w:div w:id="1807619782">
      <w:bodyDiv w:val="1"/>
      <w:marLeft w:val="0"/>
      <w:marRight w:val="0"/>
      <w:marTop w:val="0"/>
      <w:marBottom w:val="0"/>
      <w:divBdr>
        <w:top w:val="none" w:sz="0" w:space="0" w:color="auto"/>
        <w:left w:val="none" w:sz="0" w:space="0" w:color="auto"/>
        <w:bottom w:val="none" w:sz="0" w:space="0" w:color="auto"/>
        <w:right w:val="none" w:sz="0" w:space="0" w:color="auto"/>
      </w:divBdr>
      <w:divsChild>
        <w:div w:id="1766144220">
          <w:marLeft w:val="-75"/>
          <w:marRight w:val="-75"/>
          <w:marTop w:val="0"/>
          <w:marBottom w:val="0"/>
          <w:divBdr>
            <w:top w:val="none" w:sz="0" w:space="0" w:color="auto"/>
            <w:left w:val="none" w:sz="0" w:space="0" w:color="auto"/>
            <w:bottom w:val="none" w:sz="0" w:space="0" w:color="auto"/>
            <w:right w:val="none" w:sz="0" w:space="0" w:color="auto"/>
          </w:divBdr>
          <w:divsChild>
            <w:div w:id="437138018">
              <w:marLeft w:val="0"/>
              <w:marRight w:val="0"/>
              <w:marTop w:val="0"/>
              <w:marBottom w:val="0"/>
              <w:divBdr>
                <w:top w:val="none" w:sz="0" w:space="0" w:color="auto"/>
                <w:left w:val="none" w:sz="0" w:space="0" w:color="auto"/>
                <w:bottom w:val="none" w:sz="0" w:space="0" w:color="auto"/>
                <w:right w:val="none" w:sz="0" w:space="0" w:color="auto"/>
              </w:divBdr>
              <w:divsChild>
                <w:div w:id="1472406851">
                  <w:marLeft w:val="0"/>
                  <w:marRight w:val="0"/>
                  <w:marTop w:val="0"/>
                  <w:marBottom w:val="0"/>
                  <w:divBdr>
                    <w:top w:val="single" w:sz="6" w:space="0" w:color="CED4DA"/>
                    <w:left w:val="single" w:sz="6" w:space="0" w:color="CED4DA"/>
                    <w:bottom w:val="single" w:sz="6" w:space="0" w:color="CED4DA"/>
                    <w:right w:val="single" w:sz="6" w:space="0" w:color="CED4DA"/>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2.bin"/><Relationship Id="rId1" Type="http://schemas.openxmlformats.org/officeDocument/2006/relationships/image" Target="media/image2.png"/><Relationship Id="rId4" Type="http://schemas.openxmlformats.org/officeDocument/2006/relationships/image" Target="media/image4.pn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1687</Words>
  <Characters>9280</Characters>
  <Application>Microsoft Office Word</Application>
  <DocSecurity>0</DocSecurity>
  <Lines>77</Lines>
  <Paragraphs>21</Paragraphs>
  <ScaleCrop>false</ScaleCrop>
  <Company/>
  <LinksUpToDate>false</LinksUpToDate>
  <CharactersWithSpaces>10946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Frontela, Paula</dc:creator>
  <cp:keywords/>
  <dc:description/>
  <cp:lastModifiedBy>Garcia Frontela, Paula</cp:lastModifiedBy>
  <cp:revision>34</cp:revision>
  <dcterms:created xsi:type="dcterms:W3CDTF">2026-07-07T09:53:00Z</dcterms:created>
  <dcterms:modified xsi:type="dcterms:W3CDTF">2026-07-13T11:34:00Z</dcterms:modified>
</cp:coreProperties>
</file>