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9EBB0" w14:textId="77777777" w:rsidR="009120D9" w:rsidRPr="009E6701" w:rsidRDefault="009120D9" w:rsidP="00FB59F0">
      <w:pPr>
        <w:pBdr>
          <w:bottom w:val="single" w:sz="4" w:space="0" w:color="auto"/>
        </w:pBdr>
        <w:spacing w:after="120"/>
        <w:jc w:val="both"/>
        <w:rPr>
          <w:rFonts w:asciiTheme="minorHAnsi" w:hAnsiTheme="minorHAnsi" w:cstheme="minorHAnsi"/>
          <w:b/>
          <w:bCs/>
          <w:sz w:val="22"/>
          <w:szCs w:val="22"/>
        </w:rPr>
      </w:pPr>
    </w:p>
    <w:p w14:paraId="63F15CAB" w14:textId="77777777" w:rsidR="009E6701" w:rsidRPr="009E6701" w:rsidRDefault="009E6701" w:rsidP="00FB59F0">
      <w:pPr>
        <w:pBdr>
          <w:bottom w:val="single" w:sz="4" w:space="0" w:color="auto"/>
        </w:pBdr>
        <w:spacing w:after="120"/>
        <w:jc w:val="both"/>
        <w:rPr>
          <w:rFonts w:asciiTheme="minorHAnsi" w:hAnsiTheme="minorHAnsi" w:cstheme="minorHAnsi"/>
          <w:b/>
          <w:smallCaps/>
          <w:sz w:val="26"/>
          <w:szCs w:val="26"/>
        </w:rPr>
      </w:pPr>
      <w:r>
        <w:rPr>
          <w:rFonts w:asciiTheme="minorHAnsi" w:hAnsiTheme="minorHAnsi"/>
          <w:b/>
          <w:smallCaps/>
          <w:sz w:val="26"/>
        </w:rPr>
        <w:t>AGINDUA, Jaurlaritzako bigarren lehendakariorde eta Ekonomia, Lan eta Enpleguko sailburuarena, zeinaren bidez agintzen baita hasiera eman dakiola honako dekretu hau aldatzeko dekretu-proiektua egiteko prozedurari</w:t>
      </w:r>
      <w:bookmarkStart w:id="0" w:name="_Hlk183613321"/>
      <w:bookmarkStart w:id="1" w:name="_Hlk183616264"/>
      <w:r>
        <w:rPr>
          <w:rFonts w:asciiTheme="minorHAnsi" w:hAnsiTheme="minorHAnsi"/>
          <w:b/>
          <w:smallCaps/>
          <w:sz w:val="26"/>
        </w:rPr>
        <w:t>: sindikatu- eta enpresa-erakundeei dirulaguntzak ematea arautzen duen dekretua, beren jarduera-esparruei dagozkien gaietan erakunde horiekin lotutako pertsonen kualifikazioa hobetzeko prestakuntza-planak garatzeko</w:t>
      </w:r>
      <w:bookmarkEnd w:id="0"/>
      <w:bookmarkEnd w:id="1"/>
      <w:r>
        <w:rPr>
          <w:rFonts w:asciiTheme="minorHAnsi" w:hAnsiTheme="minorHAnsi"/>
          <w:b/>
          <w:smallCaps/>
          <w:sz w:val="26"/>
        </w:rPr>
        <w:t>.</w:t>
      </w:r>
    </w:p>
    <w:p w14:paraId="6B5239E0" w14:textId="77777777" w:rsidR="009120D9" w:rsidRDefault="009120D9" w:rsidP="00FB59F0">
      <w:pPr>
        <w:pBdr>
          <w:bottom w:val="single" w:sz="4" w:space="0" w:color="auto"/>
        </w:pBdr>
        <w:spacing w:after="120"/>
        <w:jc w:val="both"/>
        <w:rPr>
          <w:rFonts w:asciiTheme="minorHAnsi" w:hAnsiTheme="minorHAnsi" w:cstheme="minorHAnsi"/>
          <w:b/>
          <w:szCs w:val="24"/>
        </w:rPr>
      </w:pPr>
    </w:p>
    <w:p w14:paraId="0B8A6586" w14:textId="77777777" w:rsidR="009E6701" w:rsidRPr="009E6701" w:rsidRDefault="009E6701" w:rsidP="00185557">
      <w:pPr>
        <w:spacing w:after="160" w:line="360" w:lineRule="auto"/>
        <w:jc w:val="both"/>
        <w:rPr>
          <w:rFonts w:asciiTheme="minorHAnsi" w:hAnsiTheme="minorHAnsi" w:cstheme="minorHAnsi"/>
          <w:b/>
          <w:sz w:val="22"/>
          <w:szCs w:val="22"/>
          <w:lang w:val="es-ES"/>
        </w:rPr>
      </w:pPr>
    </w:p>
    <w:p w14:paraId="7733EDE2" w14:textId="34DC8941" w:rsidR="00185557" w:rsidRPr="009E6701" w:rsidRDefault="00185557" w:rsidP="00185557">
      <w:pPr>
        <w:spacing w:after="160" w:line="360" w:lineRule="auto"/>
        <w:jc w:val="both"/>
        <w:rPr>
          <w:rFonts w:asciiTheme="minorHAnsi" w:hAnsiTheme="minorHAnsi" w:cstheme="minorHAnsi"/>
          <w:sz w:val="22"/>
          <w:szCs w:val="22"/>
        </w:rPr>
      </w:pPr>
      <w:r>
        <w:rPr>
          <w:rFonts w:asciiTheme="minorHAnsi" w:hAnsiTheme="minorHAnsi"/>
          <w:sz w:val="22"/>
        </w:rPr>
        <w:t xml:space="preserve">Azaroaren 9ko </w:t>
      </w:r>
      <w:bookmarkStart w:id="2" w:name="_Hlk183612911"/>
      <w:r>
        <w:rPr>
          <w:rFonts w:asciiTheme="minorHAnsi" w:hAnsiTheme="minorHAnsi"/>
          <w:sz w:val="22"/>
        </w:rPr>
        <w:t>232/2021 Dekretuaren bidez</w:t>
      </w:r>
      <w:bookmarkEnd w:id="2"/>
      <w:r>
        <w:rPr>
          <w:rFonts w:asciiTheme="minorHAnsi" w:hAnsiTheme="minorHAnsi"/>
          <w:sz w:val="22"/>
        </w:rPr>
        <w:t>, enpresa- eta sindikatu-erakundeei beren jarduera-eremuei dagozkien gaietan lotutako pertsonen kualifikazioa hobetzeko prestakuntza-planak garatzeko dirulaguntzak ematea arautzen da. Dekretu horren xedea da Eusko Jaurlaritzak, lan-arloan eskumena duen Sailaren bidez, Euskal Autonomia Erkidegoko enpresa- eta sindikatu-erakundeei prestakuntza-planak garatzeko emango dizkien laguntzen esparrua ezartzea, norgehiagoka-prozeduraren bidez. Alegia, dekretu horrek laguntza horiek emateko oinarriak arautzen ditu, indarraldi mugagabea izateko bokazioarekin.</w:t>
      </w:r>
    </w:p>
    <w:p w14:paraId="1E39EC38" w14:textId="77777777" w:rsidR="00185557" w:rsidRPr="009E6701" w:rsidRDefault="00185557" w:rsidP="00185557">
      <w:pPr>
        <w:spacing w:after="160" w:line="360" w:lineRule="auto"/>
        <w:jc w:val="both"/>
        <w:rPr>
          <w:rFonts w:asciiTheme="minorHAnsi" w:hAnsiTheme="minorHAnsi" w:cstheme="minorHAnsi"/>
          <w:sz w:val="22"/>
          <w:szCs w:val="22"/>
        </w:rPr>
      </w:pPr>
      <w:r>
        <w:rPr>
          <w:rFonts w:asciiTheme="minorHAnsi" w:hAnsiTheme="minorHAnsi"/>
          <w:sz w:val="22"/>
        </w:rPr>
        <w:t>Dirulaguntzen Araubidea Erregulatzeko abenduaren 21eko 20/2023 Legeak, 2023ko abenduaren 30ean indarrean jarri zenak, azken xedapenetako lehenengoan (indarraldi mugagabea duten oinarri arautzaileak egokitzea), abenduaren 20ko 8/2024 Legearen azken xedapenetako bigarrenak aldatutako 1. puntuan, honako hau ezartzen du: «Indarraldi mugagabea duten laguntzen eta dirulaguntzen oinarri erregulatzaileak lege honen xedapenetara egokitu beharko dira, legea indarrean jartzen denetik hamabi hilabete igaro baino lehen. Epe hori bukatutakoan egokitu gabe badaude, indargabetutzat joko dira».</w:t>
      </w:r>
    </w:p>
    <w:p w14:paraId="2F27D039" w14:textId="77777777" w:rsidR="00185557" w:rsidRPr="009E6701" w:rsidRDefault="00185557" w:rsidP="00185557">
      <w:pPr>
        <w:spacing w:after="160" w:line="360" w:lineRule="auto"/>
        <w:jc w:val="both"/>
        <w:rPr>
          <w:rFonts w:asciiTheme="minorHAnsi" w:hAnsiTheme="minorHAnsi" w:cstheme="minorHAnsi"/>
          <w:sz w:val="22"/>
          <w:szCs w:val="22"/>
        </w:rPr>
      </w:pPr>
      <w:r>
        <w:rPr>
          <w:rFonts w:asciiTheme="minorHAnsi" w:hAnsiTheme="minorHAnsi"/>
          <w:sz w:val="22"/>
        </w:rPr>
        <w:t>Beraz, berrikusi egin behar da azaroaren 9ko 232/2021 Dekretua, zeinak enpresa- eta sindikatu-erakundeentzako dirulaguntzak arautzen baititu, beren jarduera-esparruei dagozkien gaietan erakunde horiekin lotutako pertsonen kualifikazioa hobetzeko prestakuntza-planak garatzeko, horrela egokitu nahi baitira indarraldi mugagabea arautzen duten oinarri erregulatzaileak.</w:t>
      </w:r>
    </w:p>
    <w:p w14:paraId="256BF72C" w14:textId="77777777" w:rsidR="00185557" w:rsidRPr="009E6701" w:rsidRDefault="00185557" w:rsidP="00185557">
      <w:pPr>
        <w:spacing w:after="160" w:line="360" w:lineRule="auto"/>
        <w:jc w:val="both"/>
        <w:rPr>
          <w:rFonts w:asciiTheme="minorHAnsi" w:hAnsiTheme="minorHAnsi" w:cstheme="minorHAnsi"/>
          <w:sz w:val="22"/>
          <w:szCs w:val="22"/>
        </w:rPr>
      </w:pPr>
      <w:r>
        <w:rPr>
          <w:rFonts w:asciiTheme="minorHAnsi" w:hAnsiTheme="minorHAnsi"/>
          <w:sz w:val="22"/>
        </w:rPr>
        <w:t xml:space="preserve">Euskal Autonomia Erkidegoaren esparruan, Xedapen Orokorrak Egiteko Prozeduraren ekainaren 30eko 6/2022 Legeak (aurrerantzean, 6/2022 Legea) zehaztu egiten du xedapen orokorrak egiteko prozedura, </w:t>
      </w:r>
      <w:r>
        <w:rPr>
          <w:rFonts w:asciiTheme="minorHAnsi" w:hAnsiTheme="minorHAnsi"/>
          <w:sz w:val="22"/>
        </w:rPr>
        <w:lastRenderedPageBreak/>
        <w:t>besteak beste Eusko Jaurlaritzak eta Euskal Autonomia Erkidegoko Administrazio Orokorrak</w:t>
      </w:r>
      <w:bookmarkStart w:id="3" w:name="_Hlk183613081"/>
      <w:r>
        <w:rPr>
          <w:rFonts w:asciiTheme="minorHAnsi" w:hAnsiTheme="minorHAnsi"/>
          <w:sz w:val="22"/>
        </w:rPr>
        <w:t xml:space="preserve"> egiten dituzten xedapen orokorretan aplikatzeko</w:t>
      </w:r>
      <w:bookmarkEnd w:id="3"/>
      <w:r>
        <w:rPr>
          <w:rFonts w:asciiTheme="minorHAnsi" w:hAnsiTheme="minorHAnsi"/>
          <w:sz w:val="22"/>
        </w:rPr>
        <w:t>.</w:t>
      </w:r>
    </w:p>
    <w:p w14:paraId="39F60C01" w14:textId="77777777" w:rsidR="00185557" w:rsidRPr="009E6701" w:rsidRDefault="00185557" w:rsidP="00185557">
      <w:pPr>
        <w:spacing w:after="160" w:line="360" w:lineRule="auto"/>
        <w:jc w:val="both"/>
        <w:rPr>
          <w:rFonts w:asciiTheme="minorHAnsi" w:hAnsiTheme="minorHAnsi" w:cstheme="minorHAnsi"/>
          <w:sz w:val="22"/>
          <w:szCs w:val="22"/>
        </w:rPr>
      </w:pPr>
      <w:r>
        <w:rPr>
          <w:rFonts w:asciiTheme="minorHAnsi" w:hAnsiTheme="minorHAnsi"/>
          <w:sz w:val="22"/>
        </w:rPr>
        <w:t>Lege horren ondorioetarako, xedapen orokor arauemaileak dira, edozein gairen gainekoak izanik ere, legearen, legegintzako dekretuaren, dekretuaren edo aginduaren forma hartzen dutenak, eta antolamendu juridikora berrikuntzak dakartzaten arau juridikoak dauzkaten eta zehaztutako edo zehaztu gabeko epe baterako mota askotako egintzen oinarri diren xedapenak.</w:t>
      </w:r>
    </w:p>
    <w:p w14:paraId="2F3764F8" w14:textId="77777777" w:rsidR="00185557" w:rsidRPr="009E6701" w:rsidRDefault="00185557" w:rsidP="00185557">
      <w:pPr>
        <w:spacing w:after="160" w:line="360" w:lineRule="auto"/>
        <w:jc w:val="both"/>
        <w:rPr>
          <w:rFonts w:asciiTheme="minorHAnsi" w:hAnsiTheme="minorHAnsi" w:cstheme="minorHAnsi"/>
          <w:sz w:val="22"/>
          <w:szCs w:val="22"/>
        </w:rPr>
      </w:pPr>
      <w:r>
        <w:rPr>
          <w:rFonts w:asciiTheme="minorHAnsi" w:hAnsiTheme="minorHAnsi"/>
          <w:sz w:val="22"/>
        </w:rPr>
        <w:t>6/2022 Legearen 12.1 artikuluak ezartzen du xedapen orokorrak egiteko prozedura xedapen horien gaiaren gainean eskumena duen Saileko sailburuaren aginduz hasiko dela.</w:t>
      </w:r>
    </w:p>
    <w:p w14:paraId="7B29596E" w14:textId="77777777" w:rsidR="00185557" w:rsidRPr="009E6701" w:rsidRDefault="00185557" w:rsidP="00185557">
      <w:pPr>
        <w:spacing w:after="160" w:line="360" w:lineRule="auto"/>
        <w:jc w:val="both"/>
        <w:rPr>
          <w:rFonts w:asciiTheme="minorHAnsi" w:hAnsiTheme="minorHAnsi" w:cstheme="minorHAnsi"/>
          <w:sz w:val="22"/>
          <w:szCs w:val="22"/>
        </w:rPr>
      </w:pPr>
      <w:r>
        <w:rPr>
          <w:rFonts w:asciiTheme="minorHAnsi" w:hAnsiTheme="minorHAnsi"/>
          <w:sz w:val="22"/>
        </w:rPr>
        <w:t>Azaldutakoa aintzat hartuta, eta 6/2022 Legearen 12.1 artikuluan ezarritakoarekin bat etorriz, Hasteko Aginduak izan beharreko edukia zehazten baitu, honako hau</w:t>
      </w:r>
    </w:p>
    <w:p w14:paraId="7C58BAE8" w14:textId="1B4A8786" w:rsidR="00185557" w:rsidRPr="009E6701" w:rsidRDefault="00185557" w:rsidP="00185557">
      <w:pPr>
        <w:spacing w:after="160" w:line="360" w:lineRule="auto"/>
        <w:jc w:val="center"/>
        <w:rPr>
          <w:rFonts w:asciiTheme="minorHAnsi" w:hAnsiTheme="minorHAnsi" w:cstheme="minorHAnsi"/>
          <w:b/>
          <w:sz w:val="22"/>
          <w:szCs w:val="22"/>
        </w:rPr>
      </w:pPr>
      <w:r>
        <w:rPr>
          <w:rFonts w:asciiTheme="minorHAnsi" w:hAnsiTheme="minorHAnsi"/>
          <w:b/>
          <w:sz w:val="22"/>
        </w:rPr>
        <w:t>EBAZTEN DUT:</w:t>
      </w:r>
    </w:p>
    <w:p w14:paraId="7307507D" w14:textId="77777777" w:rsidR="00185557" w:rsidRPr="009E6701" w:rsidRDefault="00185557" w:rsidP="00185557">
      <w:pPr>
        <w:spacing w:after="160" w:line="360" w:lineRule="auto"/>
        <w:jc w:val="both"/>
        <w:rPr>
          <w:rFonts w:asciiTheme="minorHAnsi" w:hAnsiTheme="minorHAnsi" w:cstheme="minorHAnsi"/>
          <w:sz w:val="22"/>
          <w:szCs w:val="22"/>
        </w:rPr>
      </w:pPr>
      <w:r>
        <w:rPr>
          <w:rFonts w:asciiTheme="minorHAnsi" w:hAnsiTheme="minorHAnsi"/>
          <w:b/>
          <w:sz w:val="22"/>
        </w:rPr>
        <w:t>1. artikulua.-</w:t>
      </w:r>
      <w:r>
        <w:rPr>
          <w:rFonts w:asciiTheme="minorHAnsi" w:hAnsiTheme="minorHAnsi"/>
          <w:i/>
          <w:sz w:val="22"/>
        </w:rPr>
        <w:t>Agintzea hasiera eman dakiola dekretu hau aldatzeko dekretu-proiektua egiteko prozedurari</w:t>
      </w:r>
      <w:bookmarkStart w:id="4" w:name="_Hlk158218087"/>
      <w:r>
        <w:rPr>
          <w:rFonts w:asciiTheme="minorHAnsi" w:hAnsiTheme="minorHAnsi"/>
          <w:i/>
          <w:sz w:val="22"/>
        </w:rPr>
        <w:t>: sindikatu- eta enpresa-erakundeei dirulaguntzak ematea arautzen duen dekretua, beren jarduera-esparruei dagozkien gaietan erakunde horiekin lotutako pertsonen kualifikazioa hobetzeko prestakuntza-planak garatzeko</w:t>
      </w:r>
      <w:r>
        <w:rPr>
          <w:rFonts w:asciiTheme="minorHAnsi" w:hAnsiTheme="minorHAnsi"/>
          <w:b/>
          <w:i/>
          <w:sz w:val="22"/>
        </w:rPr>
        <w:t>.</w:t>
      </w:r>
      <w:bookmarkEnd w:id="4"/>
    </w:p>
    <w:p w14:paraId="7AA7AF23" w14:textId="77777777" w:rsidR="00185557" w:rsidRPr="009E6701" w:rsidRDefault="00185557" w:rsidP="00185557">
      <w:pPr>
        <w:spacing w:after="160" w:line="360" w:lineRule="auto"/>
        <w:jc w:val="both"/>
        <w:rPr>
          <w:rFonts w:asciiTheme="minorHAnsi" w:hAnsiTheme="minorHAnsi" w:cstheme="minorHAnsi"/>
          <w:sz w:val="22"/>
          <w:szCs w:val="22"/>
        </w:rPr>
      </w:pPr>
      <w:r>
        <w:rPr>
          <w:rFonts w:asciiTheme="minorHAnsi" w:hAnsiTheme="minorHAnsi"/>
          <w:sz w:val="22"/>
        </w:rPr>
        <w:t>Hasiera emateko aginduaren xede den dekretu-proiektua egiteko, aintzat hartuko dira premisa hauek:</w:t>
      </w:r>
    </w:p>
    <w:p w14:paraId="0DF6C8EE" w14:textId="77777777" w:rsidR="00185557" w:rsidRPr="009E6701" w:rsidRDefault="00185557" w:rsidP="00185557">
      <w:pPr>
        <w:spacing w:after="160" w:line="360" w:lineRule="auto"/>
        <w:jc w:val="both"/>
        <w:rPr>
          <w:rFonts w:asciiTheme="minorHAnsi" w:hAnsiTheme="minorHAnsi" w:cstheme="minorHAnsi"/>
          <w:b/>
          <w:i/>
          <w:iCs/>
          <w:sz w:val="22"/>
          <w:szCs w:val="22"/>
        </w:rPr>
      </w:pPr>
      <w:r>
        <w:rPr>
          <w:rFonts w:asciiTheme="minorHAnsi" w:hAnsiTheme="minorHAnsi"/>
          <w:b/>
          <w:i/>
          <w:sz w:val="22"/>
        </w:rPr>
        <w:t>I.- Arauaren xedea eta helburua.</w:t>
      </w:r>
    </w:p>
    <w:p w14:paraId="4F8705A3" w14:textId="2070E717" w:rsidR="00185557" w:rsidRDefault="00185557" w:rsidP="00185557">
      <w:pPr>
        <w:spacing w:after="160" w:line="360" w:lineRule="auto"/>
        <w:jc w:val="both"/>
        <w:rPr>
          <w:rFonts w:asciiTheme="minorHAnsi" w:hAnsiTheme="minorHAnsi" w:cstheme="minorHAnsi"/>
          <w:sz w:val="22"/>
          <w:szCs w:val="22"/>
        </w:rPr>
      </w:pPr>
      <w:r>
        <w:rPr>
          <w:rFonts w:asciiTheme="minorHAnsi" w:hAnsiTheme="minorHAnsi"/>
          <w:sz w:val="22"/>
        </w:rPr>
        <w:t>Dekretu-proiektu honen xedea eta helburua da azaroaren 9ko 232/2021 Dekretuak jasotzen dituen indarraldi mugagabearen oinarri erregulatzaileak Dirulaguntzen Araubidea Erregulatzeko abenduaren 21eko 20/2023 Legera egokitzea. 232/2021 Dekretuak arautzen ditu sindikatu- eta enpresa-erakundeei beren jarduera-eremuei dagozkien gaietan lotutako pertsonen kualifikazioa hobetzeko prestakuntza-planak egiteko dirulaguntzak.</w:t>
      </w:r>
    </w:p>
    <w:p w14:paraId="265E25E3" w14:textId="77777777" w:rsidR="009E6701" w:rsidRPr="009E6701" w:rsidRDefault="009E6701" w:rsidP="00185557">
      <w:pPr>
        <w:spacing w:after="160" w:line="360" w:lineRule="auto"/>
        <w:jc w:val="both"/>
        <w:rPr>
          <w:rFonts w:asciiTheme="minorHAnsi" w:hAnsiTheme="minorHAnsi" w:cstheme="minorHAnsi"/>
          <w:sz w:val="22"/>
          <w:szCs w:val="22"/>
        </w:rPr>
      </w:pPr>
    </w:p>
    <w:p w14:paraId="09F01A61" w14:textId="77777777" w:rsidR="00185557" w:rsidRPr="009E6701" w:rsidRDefault="00185557" w:rsidP="00185557">
      <w:pPr>
        <w:spacing w:after="160" w:line="360" w:lineRule="auto"/>
        <w:jc w:val="both"/>
        <w:rPr>
          <w:rFonts w:asciiTheme="minorHAnsi" w:hAnsiTheme="minorHAnsi" w:cstheme="minorHAnsi"/>
          <w:b/>
          <w:i/>
          <w:iCs/>
          <w:sz w:val="22"/>
          <w:szCs w:val="22"/>
        </w:rPr>
      </w:pPr>
      <w:r>
        <w:rPr>
          <w:rFonts w:asciiTheme="minorHAnsi" w:hAnsiTheme="minorHAnsi"/>
          <w:b/>
          <w:i/>
          <w:sz w:val="22"/>
        </w:rPr>
        <w:t>II.- Bideragarritasun juridikoa eta materiala.</w:t>
      </w:r>
    </w:p>
    <w:p w14:paraId="5B30BEBF" w14:textId="77777777" w:rsidR="00185557" w:rsidRPr="009E6701" w:rsidRDefault="00185557" w:rsidP="00185557">
      <w:pPr>
        <w:spacing w:after="160" w:line="360" w:lineRule="auto"/>
        <w:jc w:val="both"/>
        <w:rPr>
          <w:rFonts w:asciiTheme="minorHAnsi" w:hAnsiTheme="minorHAnsi" w:cstheme="minorHAnsi"/>
          <w:sz w:val="22"/>
          <w:szCs w:val="22"/>
        </w:rPr>
      </w:pPr>
      <w:r>
        <w:rPr>
          <w:rFonts w:asciiTheme="minorHAnsi" w:hAnsiTheme="minorHAnsi"/>
          <w:sz w:val="22"/>
        </w:rPr>
        <w:t>Euskal Autonomia Erkidegoko Autonomia Estatutua onartzen duen 3/1979 Lege Organikoaren 12. artikuluak Euskal Autonomia Erkidegoari esleitzen dio lan-arloko legeria betearazteko eskumena.</w:t>
      </w:r>
    </w:p>
    <w:p w14:paraId="78129879" w14:textId="77777777" w:rsidR="00185557" w:rsidRPr="009E6701" w:rsidRDefault="00185557" w:rsidP="00185557">
      <w:pPr>
        <w:spacing w:after="160" w:line="360" w:lineRule="auto"/>
        <w:jc w:val="both"/>
        <w:rPr>
          <w:rFonts w:asciiTheme="minorHAnsi" w:hAnsiTheme="minorHAnsi" w:cstheme="minorHAnsi"/>
          <w:sz w:val="22"/>
          <w:szCs w:val="22"/>
        </w:rPr>
      </w:pPr>
      <w:r>
        <w:rPr>
          <w:rFonts w:asciiTheme="minorHAnsi" w:hAnsiTheme="minorHAnsi"/>
          <w:sz w:val="22"/>
        </w:rPr>
        <w:t xml:space="preserve">Era berean, Jaurlaritzari buruzko ekainaren 30eko 7/1981 Legearen 16. artikuluak Eusko Jaurlaritzari ematen dio erregelamenduak egiteko ahala. Eta, zehazki, 26.3 artikuluak ahalmena ematen die Eusko </w:t>
      </w:r>
      <w:r>
        <w:rPr>
          <w:rFonts w:asciiTheme="minorHAnsi" w:hAnsiTheme="minorHAnsi"/>
          <w:sz w:val="22"/>
        </w:rPr>
        <w:lastRenderedPageBreak/>
        <w:t>Jaurlaritzako Sailetako titularrei beren Sailari dagozkion gaiei buruzko dekretuak Jaurlaritzari proposatzeko, hark onar ditzan.</w:t>
      </w:r>
    </w:p>
    <w:p w14:paraId="7C705A28" w14:textId="77777777" w:rsidR="00185557" w:rsidRPr="009E6701" w:rsidRDefault="00185557" w:rsidP="00185557">
      <w:pPr>
        <w:spacing w:after="160" w:line="360" w:lineRule="auto"/>
        <w:jc w:val="both"/>
        <w:rPr>
          <w:rFonts w:asciiTheme="minorHAnsi" w:hAnsiTheme="minorHAnsi" w:cstheme="minorHAnsi"/>
          <w:sz w:val="22"/>
          <w:szCs w:val="22"/>
        </w:rPr>
      </w:pPr>
      <w:r>
        <w:rPr>
          <w:rFonts w:asciiTheme="minorHAnsi" w:hAnsiTheme="minorHAnsi"/>
          <w:sz w:val="22"/>
        </w:rPr>
        <w:t>Behin erregelamenduak egiteko eskumen hori esleituta, lehendakariaren ekainaren 23ko 18/2024 Dekretura jo behar dugu (18/2024 Dekretua, ekainaren 23koa, lehendakariarena, Euskal Autonomia Erkidegoaren Administrazioko sailak sortu, ezabatu eta aldatzen dituena eta sail bakoitzaren egitekoak eta jardun-arloak finkatzen dituena). Dekretu horren 7.1.e) artikuluan ezartzen denez, Ekonomia, Lan eta Enplegu Sailari dagokio lan-harremanen arloan lan-legeria betearazteko eskumena.</w:t>
      </w:r>
    </w:p>
    <w:p w14:paraId="7D3FA8A3" w14:textId="77777777" w:rsidR="00185557" w:rsidRPr="009E6701" w:rsidRDefault="00185557" w:rsidP="00185557">
      <w:pPr>
        <w:spacing w:after="160" w:line="360" w:lineRule="auto"/>
        <w:jc w:val="both"/>
        <w:rPr>
          <w:rFonts w:asciiTheme="minorHAnsi" w:hAnsiTheme="minorHAnsi" w:cstheme="minorHAnsi"/>
          <w:sz w:val="22"/>
          <w:szCs w:val="22"/>
        </w:rPr>
      </w:pPr>
      <w:r>
        <w:rPr>
          <w:rFonts w:asciiTheme="minorHAnsi" w:hAnsiTheme="minorHAnsi"/>
          <w:sz w:val="22"/>
        </w:rPr>
        <w:t>Aurrekoa kontuan hartuta, Ekonomia, Lan eta Enplegu Sailaren egiturari buruzko azaroaren 5eko 323/2024 Dekretuak dekretu-proiektu hau egitea justifikatzen duten eskumen-eskudantziak jasotzen ditu bere artikuluetan, eta, zehazki, Ekonomia, Lan eta Enplegu Sailaren egitura organikoa eta funtzionala ezartzen duen azaroaren 5eko 323/2024 Dekretuaren 3.1 artikuluan.</w:t>
      </w:r>
    </w:p>
    <w:p w14:paraId="29C81B0E" w14:textId="77777777" w:rsidR="009E6701" w:rsidRDefault="009E6701" w:rsidP="00185557">
      <w:pPr>
        <w:spacing w:after="160" w:line="360" w:lineRule="auto"/>
        <w:jc w:val="both"/>
        <w:rPr>
          <w:rFonts w:asciiTheme="minorHAnsi" w:hAnsiTheme="minorHAnsi" w:cstheme="minorHAnsi"/>
          <w:sz w:val="22"/>
          <w:szCs w:val="22"/>
          <w:lang w:val="es-ES"/>
        </w:rPr>
      </w:pPr>
    </w:p>
    <w:p w14:paraId="0E357C04" w14:textId="50856D8A" w:rsidR="00185557" w:rsidRDefault="00185557" w:rsidP="00185557">
      <w:pPr>
        <w:spacing w:after="160" w:line="360" w:lineRule="auto"/>
        <w:jc w:val="both"/>
        <w:rPr>
          <w:rFonts w:asciiTheme="minorHAnsi" w:hAnsiTheme="minorHAnsi" w:cstheme="minorHAnsi"/>
          <w:sz w:val="22"/>
          <w:szCs w:val="22"/>
        </w:rPr>
      </w:pPr>
      <w:r>
        <w:rPr>
          <w:rFonts w:asciiTheme="minorHAnsi" w:hAnsiTheme="minorHAnsi"/>
          <w:sz w:val="22"/>
        </w:rPr>
        <w:t>Proiektuak bideragarritasun juridiko eta material nahikoa du ordenamendu juridikoan integratzeko, eta Lehendakariaren ekainaren 23ko 18/2024 Dekretua garatzea eta aplikatzea dakar (18/2024 Dekretua, ekainaren 23koa, lehendakariarena, Euskal Autonomia Erkidegoaren Administrazioko sailak sortu, ezabatu eta aldatzen dituena eta sail bakoitzaren egitekoak eta jardun-arloak finkatzen dituena).</w:t>
      </w:r>
    </w:p>
    <w:p w14:paraId="0598618A" w14:textId="77777777" w:rsidR="009E6701" w:rsidRPr="009E6701" w:rsidRDefault="009E6701" w:rsidP="00185557">
      <w:pPr>
        <w:spacing w:after="160" w:line="360" w:lineRule="auto"/>
        <w:jc w:val="both"/>
        <w:rPr>
          <w:rFonts w:asciiTheme="minorHAnsi" w:hAnsiTheme="minorHAnsi" w:cstheme="minorHAnsi"/>
          <w:sz w:val="22"/>
          <w:szCs w:val="22"/>
          <w:lang w:val="es-ES"/>
        </w:rPr>
      </w:pPr>
    </w:p>
    <w:p w14:paraId="34E3503D" w14:textId="77777777" w:rsidR="00185557" w:rsidRPr="009E6701" w:rsidRDefault="00185557" w:rsidP="00185557">
      <w:pPr>
        <w:spacing w:after="160" w:line="360" w:lineRule="auto"/>
        <w:jc w:val="both"/>
        <w:rPr>
          <w:rFonts w:asciiTheme="minorHAnsi" w:hAnsiTheme="minorHAnsi" w:cstheme="minorHAnsi"/>
          <w:b/>
          <w:i/>
          <w:iCs/>
          <w:sz w:val="22"/>
          <w:szCs w:val="22"/>
        </w:rPr>
      </w:pPr>
      <w:r>
        <w:rPr>
          <w:rFonts w:asciiTheme="minorHAnsi" w:hAnsiTheme="minorHAnsi"/>
          <w:b/>
          <w:i/>
          <w:sz w:val="22"/>
        </w:rPr>
        <w:t>III.– Ordenamendu juridikoan izango duen eragina.</w:t>
      </w:r>
    </w:p>
    <w:p w14:paraId="0F8A0323" w14:textId="77777777" w:rsidR="00185557" w:rsidRPr="009E6701" w:rsidRDefault="00185557" w:rsidP="00185557">
      <w:pPr>
        <w:spacing w:after="160" w:line="360" w:lineRule="auto"/>
        <w:jc w:val="both"/>
        <w:rPr>
          <w:rFonts w:asciiTheme="minorHAnsi" w:hAnsiTheme="minorHAnsi" w:cstheme="minorHAnsi"/>
          <w:sz w:val="22"/>
          <w:szCs w:val="22"/>
        </w:rPr>
      </w:pPr>
      <w:r>
        <w:rPr>
          <w:rFonts w:asciiTheme="minorHAnsi" w:hAnsiTheme="minorHAnsi"/>
          <w:sz w:val="22"/>
        </w:rPr>
        <w:t>Egin beharreko dekretu-proiektuak ez du inolako eraginik izango ordenamendu juridikoan.</w:t>
      </w:r>
    </w:p>
    <w:p w14:paraId="6D3C7D91" w14:textId="10564EFC" w:rsidR="009E6701" w:rsidRDefault="009E6701" w:rsidP="00185557">
      <w:pPr>
        <w:spacing w:after="160" w:line="360" w:lineRule="auto"/>
        <w:jc w:val="both"/>
        <w:rPr>
          <w:rFonts w:asciiTheme="minorHAnsi" w:hAnsiTheme="minorHAnsi" w:cstheme="minorHAnsi"/>
          <w:b/>
          <w:i/>
          <w:iCs/>
          <w:sz w:val="22"/>
          <w:szCs w:val="22"/>
        </w:rPr>
      </w:pPr>
    </w:p>
    <w:p w14:paraId="5A20DDA8" w14:textId="77777777" w:rsidR="009E6701" w:rsidRDefault="009E6701" w:rsidP="00185557">
      <w:pPr>
        <w:spacing w:after="160" w:line="360" w:lineRule="auto"/>
        <w:jc w:val="both"/>
        <w:rPr>
          <w:rFonts w:asciiTheme="minorHAnsi" w:hAnsiTheme="minorHAnsi" w:cstheme="minorHAnsi"/>
          <w:b/>
          <w:i/>
          <w:iCs/>
          <w:sz w:val="22"/>
          <w:szCs w:val="22"/>
        </w:rPr>
      </w:pPr>
    </w:p>
    <w:p w14:paraId="3CA71A6D" w14:textId="589BD4B8" w:rsidR="00185557" w:rsidRPr="009E6701" w:rsidRDefault="00185557" w:rsidP="00185557">
      <w:pPr>
        <w:spacing w:after="160" w:line="360" w:lineRule="auto"/>
        <w:jc w:val="both"/>
        <w:rPr>
          <w:rFonts w:asciiTheme="minorHAnsi" w:hAnsiTheme="minorHAnsi" w:cstheme="minorHAnsi"/>
          <w:i/>
          <w:iCs/>
          <w:sz w:val="22"/>
          <w:szCs w:val="22"/>
        </w:rPr>
      </w:pPr>
      <w:r>
        <w:rPr>
          <w:rFonts w:asciiTheme="minorHAnsi" w:hAnsiTheme="minorHAnsi"/>
          <w:b/>
          <w:i/>
          <w:sz w:val="22"/>
        </w:rPr>
        <w:t>IV.- Aurrekontuetan izango duen eragina.</w:t>
      </w:r>
    </w:p>
    <w:p w14:paraId="71AD90BA" w14:textId="77777777" w:rsidR="00185557" w:rsidRPr="009E6701" w:rsidRDefault="00185557" w:rsidP="00185557">
      <w:pPr>
        <w:spacing w:after="160" w:line="360" w:lineRule="auto"/>
        <w:jc w:val="both"/>
        <w:rPr>
          <w:rFonts w:asciiTheme="minorHAnsi" w:hAnsiTheme="minorHAnsi" w:cstheme="minorHAnsi"/>
          <w:sz w:val="22"/>
          <w:szCs w:val="22"/>
        </w:rPr>
      </w:pPr>
      <w:r>
        <w:rPr>
          <w:rFonts w:asciiTheme="minorHAnsi" w:hAnsiTheme="minorHAnsi"/>
          <w:sz w:val="22"/>
        </w:rPr>
        <w:t xml:space="preserve">Prozedura izapidetzean, espedientean memoria ekonomiko bat txertatu beharko da, eta proiektatutako arauak aurrekontuetan izan ditzakeen ondorioak zehaztu beharko dira memoria horretan, hauetan ezarritakoa betez: batetik, 464/1995 Dekretua, urriaren 31koa, Euskal Autonomia Erkidegoko Administrazio Publikoaren barneko ekonomiaren kontrola eta kontabilitatea garatzen dituena (42. eta 43. artikuluak), eta bestetik, 6/2022 Legea (13. eta 15. artikuluak). </w:t>
      </w:r>
    </w:p>
    <w:p w14:paraId="2A961433" w14:textId="77777777" w:rsidR="00185557" w:rsidRPr="009E6701" w:rsidRDefault="00185557" w:rsidP="00185557">
      <w:pPr>
        <w:spacing w:after="160" w:line="360" w:lineRule="auto"/>
        <w:jc w:val="both"/>
        <w:rPr>
          <w:rFonts w:asciiTheme="minorHAnsi" w:hAnsiTheme="minorHAnsi" w:cstheme="minorHAnsi"/>
          <w:b/>
          <w:i/>
          <w:iCs/>
          <w:sz w:val="22"/>
          <w:szCs w:val="22"/>
        </w:rPr>
      </w:pPr>
      <w:r>
        <w:rPr>
          <w:rFonts w:asciiTheme="minorHAnsi" w:hAnsiTheme="minorHAnsi"/>
          <w:b/>
          <w:i/>
          <w:sz w:val="22"/>
        </w:rPr>
        <w:t>V.- Gaiaren arabera egin beharreko izapideak eta txostenak</w:t>
      </w:r>
    </w:p>
    <w:p w14:paraId="5A91C044" w14:textId="77777777" w:rsidR="00185557" w:rsidRPr="009E6701" w:rsidRDefault="00185557" w:rsidP="00185557">
      <w:pPr>
        <w:spacing w:after="160" w:line="360" w:lineRule="auto"/>
        <w:jc w:val="both"/>
        <w:rPr>
          <w:rFonts w:asciiTheme="minorHAnsi" w:hAnsiTheme="minorHAnsi" w:cstheme="minorHAnsi"/>
          <w:sz w:val="22"/>
          <w:szCs w:val="22"/>
        </w:rPr>
      </w:pPr>
      <w:r>
        <w:rPr>
          <w:rFonts w:asciiTheme="minorHAnsi" w:hAnsiTheme="minorHAnsi"/>
          <w:sz w:val="22"/>
        </w:rPr>
        <w:lastRenderedPageBreak/>
        <w:t>Proiektuaren azken onarpena lortzeko egin behar diren izapideetan 6/2022 Legean xedatutakoa bete beharko da, bai eta Gobernu Kontseiluak xedapen orokorrak izapidetzeko hartutako erabakietan jasotako aginduak ere, beharrezkotzat jotzen baitira honako hauek:</w:t>
      </w:r>
    </w:p>
    <w:p w14:paraId="2489E572" w14:textId="77777777" w:rsidR="00185557" w:rsidRPr="009E6701" w:rsidRDefault="00185557" w:rsidP="00185557">
      <w:pPr>
        <w:spacing w:after="160" w:line="360" w:lineRule="auto"/>
        <w:jc w:val="both"/>
        <w:rPr>
          <w:rFonts w:asciiTheme="minorHAnsi" w:hAnsiTheme="minorHAnsi" w:cstheme="minorHAnsi"/>
          <w:i/>
          <w:iCs/>
          <w:sz w:val="22"/>
          <w:szCs w:val="22"/>
        </w:rPr>
      </w:pPr>
      <w:r>
        <w:rPr>
          <w:rFonts w:asciiTheme="minorHAnsi" w:hAnsiTheme="minorHAnsi"/>
          <w:i/>
          <w:sz w:val="22"/>
        </w:rPr>
        <w:t>A.- Hasiera-fasea:</w:t>
      </w:r>
    </w:p>
    <w:p w14:paraId="5933F9BD" w14:textId="77777777" w:rsidR="00185557" w:rsidRPr="009E6701" w:rsidRDefault="00185557" w:rsidP="00185557">
      <w:pPr>
        <w:spacing w:after="160" w:line="360" w:lineRule="auto"/>
        <w:jc w:val="both"/>
        <w:rPr>
          <w:rFonts w:asciiTheme="minorHAnsi" w:hAnsiTheme="minorHAnsi" w:cstheme="minorHAnsi"/>
          <w:sz w:val="22"/>
          <w:szCs w:val="22"/>
        </w:rPr>
      </w:pPr>
      <w:r>
        <w:rPr>
          <w:rFonts w:asciiTheme="minorHAnsi" w:hAnsiTheme="minorHAnsi"/>
          <w:sz w:val="22"/>
        </w:rPr>
        <w:t>- Ez da egingo aldez aurreko kontsulta publikoaren izapidea, Administrazio Publikoen Administrazio Prozedura Erkidearen urriaren 1eko 39/2015 Legeak 133.1 artikuluan aurreikusitakoa, bat etorriz artikulu horren beraren 4. zenbakiarekin.</w:t>
      </w:r>
    </w:p>
    <w:p w14:paraId="3A00B1C2" w14:textId="77777777" w:rsidR="00185557" w:rsidRPr="009E6701" w:rsidRDefault="00185557" w:rsidP="00185557">
      <w:pPr>
        <w:spacing w:after="160" w:line="360" w:lineRule="auto"/>
        <w:jc w:val="both"/>
        <w:rPr>
          <w:rFonts w:asciiTheme="minorHAnsi" w:hAnsiTheme="minorHAnsi" w:cstheme="minorHAnsi"/>
          <w:sz w:val="22"/>
          <w:szCs w:val="22"/>
        </w:rPr>
      </w:pPr>
      <w:r>
        <w:rPr>
          <w:rFonts w:asciiTheme="minorHAnsi" w:hAnsiTheme="minorHAnsi"/>
          <w:sz w:val="22"/>
        </w:rPr>
        <w:t xml:space="preserve">- Hasteko agindu hau Euskal Autonomia Erkidegoko Administrazio Publikoaren egoitza elektronikoko iragarki-taulan argitaratuko da, bai eta ezagutza partekatuko </w:t>
      </w:r>
      <w:proofErr w:type="spellStart"/>
      <w:r>
        <w:rPr>
          <w:rFonts w:asciiTheme="minorHAnsi" w:hAnsiTheme="minorHAnsi"/>
          <w:sz w:val="22"/>
        </w:rPr>
        <w:t>Legesarea</w:t>
      </w:r>
      <w:proofErr w:type="spellEnd"/>
      <w:r>
        <w:rPr>
          <w:rFonts w:asciiTheme="minorHAnsi" w:hAnsiTheme="minorHAnsi"/>
          <w:sz w:val="22"/>
        </w:rPr>
        <w:t xml:space="preserve"> lankidetza-gunean ere.</w:t>
      </w:r>
    </w:p>
    <w:p w14:paraId="47B0411C" w14:textId="77777777" w:rsidR="00185557" w:rsidRPr="009E6701" w:rsidRDefault="00185557" w:rsidP="00185557">
      <w:pPr>
        <w:spacing w:after="160" w:line="360" w:lineRule="auto"/>
        <w:jc w:val="both"/>
        <w:rPr>
          <w:rFonts w:asciiTheme="minorHAnsi" w:hAnsiTheme="minorHAnsi" w:cstheme="minorHAnsi"/>
          <w:sz w:val="22"/>
          <w:szCs w:val="22"/>
        </w:rPr>
      </w:pPr>
      <w:r>
        <w:rPr>
          <w:rFonts w:asciiTheme="minorHAnsi" w:hAnsiTheme="minorHAnsi"/>
          <w:sz w:val="22"/>
        </w:rPr>
        <w:t>- Generoaren araberako eragina ebaluatzeko txosten bat idatziko da. Bertan, proposamenak emakumeen eta gizonen egoeran, kolektibo gisa hartuta, izan dezakeen eragina jasoko da, bai eta sektore arteko ikuspegitik emakumeen kolektiboetan izan dezakeen eragina ere. Txostena Emakunderen esku jarriko da, 6/2022 Legearen 14.4 artikuluak dioen bezala.</w:t>
      </w:r>
    </w:p>
    <w:p w14:paraId="4FBE9CA6" w14:textId="77777777" w:rsidR="00185557" w:rsidRPr="009E6701" w:rsidRDefault="00185557" w:rsidP="00185557">
      <w:pPr>
        <w:spacing w:after="160" w:line="360" w:lineRule="auto"/>
        <w:jc w:val="both"/>
        <w:rPr>
          <w:rFonts w:asciiTheme="minorHAnsi" w:hAnsiTheme="minorHAnsi" w:cstheme="minorHAnsi"/>
          <w:i/>
          <w:iCs/>
          <w:sz w:val="22"/>
          <w:szCs w:val="22"/>
        </w:rPr>
      </w:pPr>
      <w:r>
        <w:rPr>
          <w:rFonts w:asciiTheme="minorHAnsi" w:hAnsiTheme="minorHAnsi"/>
          <w:i/>
          <w:sz w:val="22"/>
        </w:rPr>
        <w:t>B.-</w:t>
      </w:r>
      <w:r>
        <w:rPr>
          <w:rFonts w:asciiTheme="minorHAnsi" w:hAnsiTheme="minorHAnsi"/>
          <w:sz w:val="22"/>
        </w:rPr>
        <w:t xml:space="preserve"> </w:t>
      </w:r>
      <w:r>
        <w:rPr>
          <w:rFonts w:asciiTheme="minorHAnsi" w:hAnsiTheme="minorHAnsi"/>
          <w:i/>
          <w:sz w:val="22"/>
        </w:rPr>
        <w:t>Aurretiazko onarpena:</w:t>
      </w:r>
    </w:p>
    <w:p w14:paraId="5E8C5F19" w14:textId="77777777" w:rsidR="00185557" w:rsidRPr="009E6701" w:rsidRDefault="00185557" w:rsidP="00185557">
      <w:pPr>
        <w:spacing w:after="160" w:line="360" w:lineRule="auto"/>
        <w:jc w:val="both"/>
        <w:rPr>
          <w:rFonts w:asciiTheme="minorHAnsi" w:hAnsiTheme="minorHAnsi" w:cstheme="minorHAnsi"/>
          <w:sz w:val="22"/>
          <w:szCs w:val="22"/>
        </w:rPr>
      </w:pPr>
      <w:r>
        <w:rPr>
          <w:rFonts w:asciiTheme="minorHAnsi" w:hAnsiTheme="minorHAnsi"/>
          <w:sz w:val="22"/>
        </w:rPr>
        <w:t>- Bigarren lehendakariorde eta Ekonomia, Lan eta Enpleguko sailburuaren Agindua, testu artikulatuari aurretiazko onarpena ematekoa, testu horren euskarazko eta gaztelaniazko bertsioak erantsita izango dituena.</w:t>
      </w:r>
    </w:p>
    <w:p w14:paraId="4A293745" w14:textId="77777777" w:rsidR="00185557" w:rsidRPr="009E6701" w:rsidRDefault="00185557" w:rsidP="00185557">
      <w:pPr>
        <w:spacing w:after="160" w:line="360" w:lineRule="auto"/>
        <w:jc w:val="both"/>
        <w:rPr>
          <w:rFonts w:asciiTheme="minorHAnsi" w:hAnsiTheme="minorHAnsi" w:cstheme="minorHAnsi"/>
          <w:sz w:val="22"/>
          <w:szCs w:val="22"/>
        </w:rPr>
      </w:pPr>
      <w:r>
        <w:rPr>
          <w:rFonts w:asciiTheme="minorHAnsi" w:hAnsiTheme="minorHAnsi"/>
          <w:sz w:val="22"/>
        </w:rPr>
        <w:t>- Arau-mailako eragina aztertzeko memoria bat egingo da, 6/2022 Legearen 15.3. artikuluaren arabera.</w:t>
      </w:r>
    </w:p>
    <w:p w14:paraId="2A3A2F34" w14:textId="77777777" w:rsidR="00185557" w:rsidRPr="009E6701" w:rsidRDefault="00185557" w:rsidP="00185557">
      <w:pPr>
        <w:spacing w:after="160" w:line="360" w:lineRule="auto"/>
        <w:jc w:val="both"/>
        <w:rPr>
          <w:rFonts w:asciiTheme="minorHAnsi" w:hAnsiTheme="minorHAnsi" w:cstheme="minorHAnsi"/>
          <w:sz w:val="22"/>
          <w:szCs w:val="22"/>
        </w:rPr>
      </w:pPr>
      <w:r>
        <w:rPr>
          <w:rFonts w:asciiTheme="minorHAnsi" w:hAnsiTheme="minorHAnsi"/>
          <w:sz w:val="22"/>
        </w:rPr>
        <w:t>- Lan eta Enplegu Saileko Aholkularitza Juridikoak txosten juridikoa igorriko du, 6/2022 Legearen 15.4 artikuluan ezarritakoaren arabera.</w:t>
      </w:r>
    </w:p>
    <w:p w14:paraId="1531AF44" w14:textId="77777777" w:rsidR="00185557" w:rsidRPr="009E6701" w:rsidRDefault="00185557" w:rsidP="00185557">
      <w:pPr>
        <w:spacing w:after="160" w:line="360" w:lineRule="auto"/>
        <w:jc w:val="both"/>
        <w:rPr>
          <w:rFonts w:asciiTheme="minorHAnsi" w:hAnsiTheme="minorHAnsi" w:cstheme="minorHAnsi"/>
          <w:i/>
          <w:iCs/>
          <w:sz w:val="22"/>
          <w:szCs w:val="22"/>
        </w:rPr>
      </w:pPr>
      <w:r>
        <w:rPr>
          <w:rFonts w:asciiTheme="minorHAnsi" w:hAnsiTheme="minorHAnsi"/>
          <w:i/>
          <w:sz w:val="22"/>
        </w:rPr>
        <w:t>C.- Instrukzioa</w:t>
      </w:r>
    </w:p>
    <w:p w14:paraId="2E1D8138" w14:textId="77777777" w:rsidR="00185557" w:rsidRPr="009E6701" w:rsidRDefault="00185557" w:rsidP="00185557">
      <w:pPr>
        <w:spacing w:after="160" w:line="360" w:lineRule="auto"/>
        <w:jc w:val="both"/>
        <w:rPr>
          <w:rFonts w:asciiTheme="minorHAnsi" w:hAnsiTheme="minorHAnsi" w:cstheme="minorHAnsi"/>
          <w:sz w:val="22"/>
          <w:szCs w:val="22"/>
        </w:rPr>
      </w:pPr>
      <w:r>
        <w:rPr>
          <w:rFonts w:asciiTheme="minorHAnsi" w:hAnsiTheme="minorHAnsi"/>
          <w:sz w:val="22"/>
        </w:rPr>
        <w:t>Arau-aurreproiektuak, behin onartuz gero, honako txosten eta izapide hauek bete beharko ditu, hilabeteko epean:</w:t>
      </w:r>
    </w:p>
    <w:p w14:paraId="3CF3200E" w14:textId="77777777" w:rsidR="00185557" w:rsidRPr="009E6701" w:rsidRDefault="00185557" w:rsidP="00185557">
      <w:pPr>
        <w:spacing w:after="160" w:line="360" w:lineRule="auto"/>
        <w:jc w:val="both"/>
        <w:rPr>
          <w:rFonts w:asciiTheme="minorHAnsi" w:hAnsiTheme="minorHAnsi" w:cstheme="minorHAnsi"/>
          <w:sz w:val="22"/>
          <w:szCs w:val="22"/>
        </w:rPr>
      </w:pPr>
      <w:r>
        <w:rPr>
          <w:rFonts w:asciiTheme="minorHAnsi" w:hAnsiTheme="minorHAnsi"/>
          <w:sz w:val="22"/>
        </w:rPr>
        <w:t xml:space="preserve">- Entzunaldi publikoaren izapidea egiteko, kontsulta egingo zaie ordezkaritza zabalena duten enpresa-erakundeei eta sindikatuei, hau da, enpresaburuen aldetik, </w:t>
      </w:r>
      <w:proofErr w:type="spellStart"/>
      <w:r>
        <w:rPr>
          <w:rFonts w:asciiTheme="minorHAnsi" w:hAnsiTheme="minorHAnsi"/>
          <w:sz w:val="22"/>
        </w:rPr>
        <w:t>CONFEBASKi</w:t>
      </w:r>
      <w:proofErr w:type="spellEnd"/>
      <w:r>
        <w:rPr>
          <w:rFonts w:asciiTheme="minorHAnsi" w:hAnsiTheme="minorHAnsi"/>
          <w:sz w:val="22"/>
        </w:rPr>
        <w:t>, eta, sindikatuen aldetik, Eusko Langileen Alkartasuna (ELA), Euskadiko Langile Batzordeak (CC.OO.), Langile Abertzale Batzordeak (LAB) eta Euskadiko Langileen Batasun Orokorra (UGT), sindikatuei. Kontsulta egingo zaie indarrean dagoen legeriaren arabera halako erakundetzat jo daitezkeen beste erakunde batzuei ere.</w:t>
      </w:r>
    </w:p>
    <w:p w14:paraId="56218357" w14:textId="77777777" w:rsidR="00185557" w:rsidRPr="009E6701" w:rsidRDefault="00185557" w:rsidP="00185557">
      <w:pPr>
        <w:spacing w:after="160" w:line="360" w:lineRule="auto"/>
        <w:jc w:val="both"/>
        <w:rPr>
          <w:rFonts w:asciiTheme="minorHAnsi" w:hAnsiTheme="minorHAnsi" w:cstheme="minorHAnsi"/>
          <w:sz w:val="22"/>
          <w:szCs w:val="22"/>
        </w:rPr>
      </w:pPr>
      <w:r>
        <w:rPr>
          <w:rFonts w:asciiTheme="minorHAnsi" w:hAnsiTheme="minorHAnsi"/>
          <w:sz w:val="22"/>
        </w:rPr>
        <w:lastRenderedPageBreak/>
        <w:t>Arau hau salbuetsita dago jendaurrean jartzeko izapidea egitetik, ekainaren 30eko 6/2022 Legearen 17. artikuluan</w:t>
      </w:r>
      <w:bookmarkStart w:id="5" w:name="_Hlk183616871"/>
      <w:r>
        <w:rPr>
          <w:rFonts w:asciiTheme="minorHAnsi" w:hAnsiTheme="minorHAnsi"/>
          <w:sz w:val="22"/>
        </w:rPr>
        <w:t xml:space="preserve"> ezarritakoaren arabera</w:t>
      </w:r>
      <w:bookmarkEnd w:id="5"/>
      <w:r>
        <w:rPr>
          <w:rFonts w:asciiTheme="minorHAnsi" w:hAnsiTheme="minorHAnsi"/>
          <w:sz w:val="22"/>
        </w:rPr>
        <w:t>; izan ere, duen izaeragatik, ez die eragiten herritarren eskubideei eta bidezko interesei.</w:t>
      </w:r>
    </w:p>
    <w:p w14:paraId="5EB87AAB" w14:textId="77777777" w:rsidR="00185557" w:rsidRPr="009E6701" w:rsidRDefault="00185557" w:rsidP="00185557">
      <w:pPr>
        <w:spacing w:after="160" w:line="360" w:lineRule="auto"/>
        <w:jc w:val="both"/>
        <w:rPr>
          <w:rFonts w:asciiTheme="minorHAnsi" w:hAnsiTheme="minorHAnsi" w:cstheme="minorHAnsi"/>
          <w:sz w:val="22"/>
          <w:szCs w:val="22"/>
        </w:rPr>
      </w:pPr>
      <w:r>
        <w:rPr>
          <w:rFonts w:asciiTheme="minorHAnsi" w:hAnsiTheme="minorHAnsi"/>
          <w:sz w:val="22"/>
        </w:rPr>
        <w:t>Arau-testua ere ez da beste administrazio batzuek parte hartzeko eta haiei kontsulta egiteko izapidearen mende jarriko, ekainaren 30eko 6/2022 Legearen 18. artikuluan xedatutakoaren arabera, aurreikusitako erregulazioak ez baitie zuzenean eragiten.</w:t>
      </w:r>
    </w:p>
    <w:p w14:paraId="6646D8B2" w14:textId="77777777" w:rsidR="00185557" w:rsidRPr="009E6701" w:rsidRDefault="00185557" w:rsidP="00185557">
      <w:pPr>
        <w:spacing w:after="160" w:line="360" w:lineRule="auto"/>
        <w:jc w:val="both"/>
        <w:rPr>
          <w:rFonts w:asciiTheme="minorHAnsi" w:hAnsiTheme="minorHAnsi" w:cstheme="minorHAnsi"/>
          <w:sz w:val="22"/>
          <w:szCs w:val="22"/>
        </w:rPr>
      </w:pPr>
      <w:r>
        <w:rPr>
          <w:rFonts w:asciiTheme="minorHAnsi" w:hAnsiTheme="minorHAnsi"/>
          <w:sz w:val="22"/>
        </w:rPr>
        <w:t xml:space="preserve">- Herritarrak Artatzeko eta Administrazioa Berritzeko Zuzendaritzak egindako txostena, </w:t>
      </w:r>
      <w:bookmarkStart w:id="6" w:name="_Hlk184025813"/>
      <w:r>
        <w:rPr>
          <w:rFonts w:asciiTheme="minorHAnsi" w:hAnsiTheme="minorHAnsi"/>
          <w:sz w:val="22"/>
        </w:rPr>
        <w:t>Gobernantza, Administrazio Digital eta Autogobernuaren Sailaren egitura organikoa eta funtzionala ezartzen duen urriaren 29ko 317/2024 Dekretuak</w:t>
      </w:r>
      <w:bookmarkEnd w:id="6"/>
      <w:r>
        <w:t xml:space="preserve"> 21.1.c) artikuluan xedatutakoa betez</w:t>
      </w:r>
      <w:r>
        <w:rPr>
          <w:rFonts w:asciiTheme="minorHAnsi" w:hAnsiTheme="minorHAnsi"/>
          <w:sz w:val="22"/>
        </w:rPr>
        <w:t>.</w:t>
      </w:r>
    </w:p>
    <w:p w14:paraId="46F4180E" w14:textId="77777777" w:rsidR="00185557" w:rsidRPr="009E6701" w:rsidRDefault="00185557" w:rsidP="00185557">
      <w:pPr>
        <w:spacing w:after="160" w:line="360" w:lineRule="auto"/>
        <w:jc w:val="both"/>
        <w:rPr>
          <w:rFonts w:asciiTheme="minorHAnsi" w:hAnsiTheme="minorHAnsi" w:cstheme="minorHAnsi"/>
          <w:sz w:val="22"/>
          <w:szCs w:val="22"/>
        </w:rPr>
      </w:pPr>
      <w:r>
        <w:rPr>
          <w:rFonts w:asciiTheme="minorHAnsi" w:hAnsiTheme="minorHAnsi"/>
          <w:sz w:val="22"/>
        </w:rPr>
        <w:t>- Kultura eta Hizkuntza Politika Saileko Herri Administrazioetan Hizkuntza Normalizatzeko Zuzendaritzaren txostena, kontuan hartuta otsailaren 23ko 73/2021 Dekretuak 14.2.j) artikuluan xedatutakoa –73/2021 Dekretua, Kultura eta Hizkuntza Politika Sailaren egitura organikoa eta funtzionala ezartzen duena–, bai eta Euskararen Erabilera Normalizatzeari buruzko azaroaren 24ko 10/1982 Oinarrizko Legeak 8.1 artikuluan zehaztutakoa ere.</w:t>
      </w:r>
    </w:p>
    <w:p w14:paraId="1D4BA070" w14:textId="77777777" w:rsidR="00185557" w:rsidRPr="009E6701" w:rsidRDefault="00185557" w:rsidP="00185557">
      <w:pPr>
        <w:spacing w:after="160" w:line="360" w:lineRule="auto"/>
        <w:jc w:val="both"/>
        <w:rPr>
          <w:rFonts w:asciiTheme="minorHAnsi" w:hAnsiTheme="minorHAnsi" w:cstheme="minorHAnsi"/>
          <w:sz w:val="22"/>
          <w:szCs w:val="22"/>
        </w:rPr>
      </w:pPr>
      <w:r>
        <w:rPr>
          <w:rFonts w:asciiTheme="minorHAnsi" w:hAnsiTheme="minorHAnsi"/>
          <w:sz w:val="22"/>
        </w:rPr>
        <w:t>Aginduzko txostenak eta irizpenak:</w:t>
      </w:r>
    </w:p>
    <w:p w14:paraId="7956A9DF" w14:textId="77777777" w:rsidR="00185557" w:rsidRPr="009E6701" w:rsidRDefault="00185557" w:rsidP="00185557">
      <w:pPr>
        <w:spacing w:after="160" w:line="360" w:lineRule="auto"/>
        <w:jc w:val="both"/>
        <w:rPr>
          <w:rFonts w:asciiTheme="minorHAnsi" w:hAnsiTheme="minorHAnsi" w:cstheme="minorHAnsi"/>
          <w:sz w:val="22"/>
          <w:szCs w:val="22"/>
        </w:rPr>
      </w:pPr>
      <w:r>
        <w:rPr>
          <w:rFonts w:asciiTheme="minorHAnsi" w:hAnsiTheme="minorHAnsi"/>
          <w:sz w:val="22"/>
        </w:rPr>
        <w:t>- Legezkotasun-txostena, Gobernantza, Administrazio Digital eta Autogobernuaren Sailaren Lege Garapen eta Arau Kontrolerako Zuzendaritzarena, bat etorriz apirilaren 25eko 144/2017 Dekretuak (Eusko Jaurlaritzaren Zerbitzu Juridikoarenak) 11.1 artikuluan aurreikusitakoarekin.</w:t>
      </w:r>
    </w:p>
    <w:p w14:paraId="0CBFD144" w14:textId="77777777" w:rsidR="00185557" w:rsidRPr="009E6701" w:rsidRDefault="00185557" w:rsidP="00185557">
      <w:pPr>
        <w:spacing w:after="160" w:line="360" w:lineRule="auto"/>
        <w:jc w:val="both"/>
        <w:rPr>
          <w:rFonts w:asciiTheme="minorHAnsi" w:hAnsiTheme="minorHAnsi" w:cstheme="minorHAnsi"/>
          <w:sz w:val="22"/>
          <w:szCs w:val="22"/>
        </w:rPr>
      </w:pPr>
      <w:r>
        <w:rPr>
          <w:rFonts w:asciiTheme="minorHAnsi" w:hAnsiTheme="minorHAnsi"/>
          <w:sz w:val="22"/>
        </w:rPr>
        <w:t xml:space="preserve">- Kontrol Ekonomikoko Bulegoaren ekonomiaren eta arauen kontrolari buruzko txostena, bat etorriz Ekonomia eta Ogasun Sailaren egitura organikoa eta funtzionala ezartzen duen otsailaren 23ko 69/2021 Dekretuaren 4.a) artikuluan, urriaren 19ko 2/2017 Legegintzako Dekretuak onartutako Euskal Autonomia Erkidegoko Ekonomia Kontrolari eta Kontabilitateari buruzko Legearen testu </w:t>
      </w:r>
      <w:proofErr w:type="spellStart"/>
      <w:r>
        <w:rPr>
          <w:rFonts w:asciiTheme="minorHAnsi" w:hAnsiTheme="minorHAnsi"/>
          <w:sz w:val="22"/>
        </w:rPr>
        <w:t>bateginaren</w:t>
      </w:r>
      <w:proofErr w:type="spellEnd"/>
      <w:r>
        <w:rPr>
          <w:rFonts w:asciiTheme="minorHAnsi" w:hAnsiTheme="minorHAnsi"/>
          <w:sz w:val="22"/>
        </w:rPr>
        <w:t xml:space="preserve"> III. tituluko IV. kapituluan eta Euskal Autonomia Erkidegoko Administrazio Publikoaren barneko ekonomiaren kontrola eta kontabilitatea garatzen dituen urriaren 31ko 464/1995 Dekretuan jasotako aurreikuspenei dagokienez.</w:t>
      </w:r>
    </w:p>
    <w:p w14:paraId="35CBDDEB" w14:textId="77777777" w:rsidR="00185557" w:rsidRPr="009E6701" w:rsidRDefault="00185557" w:rsidP="00185557">
      <w:pPr>
        <w:spacing w:after="160" w:line="360" w:lineRule="auto"/>
        <w:jc w:val="both"/>
        <w:rPr>
          <w:rFonts w:asciiTheme="minorHAnsi" w:hAnsiTheme="minorHAnsi" w:cstheme="minorHAnsi"/>
          <w:i/>
          <w:iCs/>
          <w:sz w:val="22"/>
          <w:szCs w:val="22"/>
        </w:rPr>
      </w:pPr>
      <w:r>
        <w:rPr>
          <w:rFonts w:asciiTheme="minorHAnsi" w:hAnsiTheme="minorHAnsi"/>
          <w:i/>
          <w:sz w:val="22"/>
        </w:rPr>
        <w:t>D.- Amaitzeko eta onesteko fasea</w:t>
      </w:r>
    </w:p>
    <w:p w14:paraId="690D4D65" w14:textId="77777777" w:rsidR="00185557" w:rsidRPr="009E6701" w:rsidRDefault="00185557" w:rsidP="00185557">
      <w:pPr>
        <w:spacing w:after="160" w:line="360" w:lineRule="auto"/>
        <w:jc w:val="both"/>
        <w:rPr>
          <w:rFonts w:asciiTheme="minorHAnsi" w:hAnsiTheme="minorHAnsi" w:cstheme="minorHAnsi"/>
          <w:sz w:val="22"/>
          <w:szCs w:val="22"/>
        </w:rPr>
      </w:pPr>
      <w:r>
        <w:rPr>
          <w:rFonts w:asciiTheme="minorHAnsi" w:hAnsiTheme="minorHAnsi"/>
          <w:sz w:val="22"/>
        </w:rPr>
        <w:t xml:space="preserve">Arau-proiektua izapidetzen amaitu ondoren, eta Gobernu Kontseiluak onartu aurretik, prozedura osoaren memoria labur bat landuko da, bertan azalduz aurrekariak, egin diren izapideak eta haien emaitzak, eta egindako txostenetako oharpen eta iradokizunetara eta, bereziki, nahitaezko txostenetan </w:t>
      </w:r>
      <w:r>
        <w:rPr>
          <w:rFonts w:asciiTheme="minorHAnsi" w:hAnsiTheme="minorHAnsi"/>
          <w:sz w:val="22"/>
        </w:rPr>
        <w:lastRenderedPageBreak/>
        <w:t>jasotakoetara egokitzeko proiektuaren testuan egindako aldaketak, 6/2022 Legearen 24. artikuluarekin bat etorriz.</w:t>
      </w:r>
    </w:p>
    <w:p w14:paraId="3E5F1167" w14:textId="77777777" w:rsidR="00185557" w:rsidRPr="009E6701" w:rsidRDefault="00185557" w:rsidP="00185557">
      <w:pPr>
        <w:spacing w:after="160" w:line="360" w:lineRule="auto"/>
        <w:jc w:val="both"/>
        <w:rPr>
          <w:rFonts w:asciiTheme="minorHAnsi" w:hAnsiTheme="minorHAnsi" w:cstheme="minorHAnsi"/>
          <w:sz w:val="22"/>
          <w:szCs w:val="22"/>
        </w:rPr>
      </w:pPr>
      <w:r>
        <w:rPr>
          <w:rFonts w:asciiTheme="minorHAnsi" w:hAnsiTheme="minorHAnsi"/>
          <w:sz w:val="22"/>
        </w:rPr>
        <w:t>Dekretu-proiektua Gobernu Kontseiluak onartu beharko du, eta, onartu ondoren, Euskal Herriko Agintaritzaren Aldizkarira bidaliko da, Jaurlaritzari buruzko ekainaren 30eko 7/1981 Legearen 18. artikuluaren eta 6/2022 Legearen 27. artikuluaren arabera.</w:t>
      </w:r>
    </w:p>
    <w:p w14:paraId="602B83F8" w14:textId="77777777" w:rsidR="00185557" w:rsidRPr="009E6701" w:rsidRDefault="00185557" w:rsidP="00185557">
      <w:pPr>
        <w:spacing w:after="160" w:line="360" w:lineRule="auto"/>
        <w:jc w:val="both"/>
        <w:rPr>
          <w:rFonts w:asciiTheme="minorHAnsi" w:hAnsiTheme="minorHAnsi" w:cstheme="minorHAnsi"/>
          <w:b/>
          <w:bCs/>
          <w:i/>
          <w:iCs/>
          <w:sz w:val="22"/>
          <w:szCs w:val="22"/>
        </w:rPr>
      </w:pPr>
      <w:r>
        <w:rPr>
          <w:rFonts w:asciiTheme="minorHAnsi" w:hAnsiTheme="minorHAnsi"/>
          <w:b/>
          <w:i/>
          <w:sz w:val="22"/>
        </w:rPr>
        <w:t>VI.- Europar Batasunaren aurrean egin beharreko izapideak.</w:t>
      </w:r>
    </w:p>
    <w:p w14:paraId="00729BFC" w14:textId="77777777" w:rsidR="00185557" w:rsidRPr="009E6701" w:rsidRDefault="00185557" w:rsidP="00185557">
      <w:pPr>
        <w:spacing w:after="160" w:line="360" w:lineRule="auto"/>
        <w:jc w:val="both"/>
        <w:rPr>
          <w:rFonts w:asciiTheme="minorHAnsi" w:hAnsiTheme="minorHAnsi" w:cstheme="minorHAnsi"/>
          <w:sz w:val="22"/>
          <w:szCs w:val="22"/>
        </w:rPr>
      </w:pPr>
      <w:r>
        <w:rPr>
          <w:rFonts w:asciiTheme="minorHAnsi" w:hAnsiTheme="minorHAnsi"/>
          <w:sz w:val="22"/>
        </w:rPr>
        <w:t>Ez da ikusten Europar Batasunean inolako izapiderik egiteko beharrik.</w:t>
      </w:r>
    </w:p>
    <w:p w14:paraId="47D6D2AF" w14:textId="77777777" w:rsidR="00185557" w:rsidRPr="009E6701" w:rsidRDefault="00185557" w:rsidP="00185557">
      <w:pPr>
        <w:spacing w:after="160" w:line="360" w:lineRule="auto"/>
        <w:jc w:val="both"/>
        <w:rPr>
          <w:rFonts w:asciiTheme="minorHAnsi" w:hAnsiTheme="minorHAnsi" w:cstheme="minorHAnsi"/>
          <w:b/>
          <w:bCs/>
          <w:i/>
          <w:iCs/>
          <w:sz w:val="22"/>
          <w:szCs w:val="22"/>
        </w:rPr>
      </w:pPr>
      <w:r>
        <w:rPr>
          <w:rFonts w:asciiTheme="minorHAnsi" w:hAnsiTheme="minorHAnsi"/>
          <w:b/>
          <w:i/>
          <w:sz w:val="22"/>
        </w:rPr>
        <w:t>VII.- Urteko Araugintza Plana.</w:t>
      </w:r>
    </w:p>
    <w:p w14:paraId="175D7000" w14:textId="77777777" w:rsidR="00185557" w:rsidRPr="009E6701" w:rsidRDefault="00185557" w:rsidP="00185557">
      <w:pPr>
        <w:spacing w:after="160" w:line="360" w:lineRule="auto"/>
        <w:jc w:val="both"/>
        <w:rPr>
          <w:rFonts w:asciiTheme="minorHAnsi" w:hAnsiTheme="minorHAnsi" w:cstheme="minorHAnsi"/>
          <w:sz w:val="22"/>
          <w:szCs w:val="22"/>
          <w:highlight w:val="green"/>
        </w:rPr>
      </w:pPr>
      <w:r>
        <w:rPr>
          <w:rFonts w:asciiTheme="minorHAnsi" w:hAnsiTheme="minorHAnsi"/>
          <w:sz w:val="22"/>
        </w:rPr>
        <w:t>Dekretu honek aldatu egiten du 232/2021 Dekretua, azaroaren 9koa, zeinaren bidez arautzen baitira enpresa- eta sindikatu-erakundeei beren jarduera-eremuei dagozkien gaietan lotutako pertsonen kualifikazioa hobetzeko prestakuntza-planak egiteko dirulaguntzak. Dekretu hau ez dago jasota bigarren lehendakariorde eta Ekonomia, Lan eta Enpleguko eta sailburuaren Aginduan, zeinaren bidez onartzen baita Ekonomia, Lan eta Enplegu Sailaren 2025. urteko arau-plangintza. Izan ere, lehengo araua dirulaguntzen araudi berrira egokitzea betebehar bat da Dirulaguntzen Araubidea Erregulatzeko abenduaren 21eko 20/2023 Legearen azken xedapenetako lehenengoan jasotako lege-agindua betetzeko, eta, beraz, ez zen beharrezkotzat jo urteko arau-plangintzan sartzea.</w:t>
      </w:r>
    </w:p>
    <w:p w14:paraId="769E6891" w14:textId="77777777" w:rsidR="00185557" w:rsidRPr="009E6701" w:rsidRDefault="00185557" w:rsidP="00185557">
      <w:pPr>
        <w:spacing w:after="160" w:line="360" w:lineRule="auto"/>
        <w:jc w:val="both"/>
        <w:rPr>
          <w:rFonts w:asciiTheme="minorHAnsi" w:hAnsiTheme="minorHAnsi" w:cstheme="minorHAnsi"/>
          <w:b/>
          <w:i/>
          <w:iCs/>
          <w:sz w:val="22"/>
          <w:szCs w:val="22"/>
        </w:rPr>
      </w:pPr>
      <w:r>
        <w:rPr>
          <w:rFonts w:asciiTheme="minorHAnsi" w:hAnsiTheme="minorHAnsi"/>
          <w:b/>
          <w:i/>
          <w:sz w:val="22"/>
        </w:rPr>
        <w:t>VII.– Idazketa-sistema.</w:t>
      </w:r>
    </w:p>
    <w:p w14:paraId="361E8833" w14:textId="77777777" w:rsidR="00185557" w:rsidRPr="009E6701" w:rsidRDefault="00185557" w:rsidP="00185557">
      <w:pPr>
        <w:spacing w:after="160" w:line="360" w:lineRule="auto"/>
        <w:jc w:val="both"/>
        <w:rPr>
          <w:rFonts w:asciiTheme="minorHAnsi" w:hAnsiTheme="minorHAnsi" w:cstheme="minorHAnsi"/>
          <w:bCs/>
          <w:sz w:val="22"/>
          <w:szCs w:val="22"/>
        </w:rPr>
      </w:pPr>
      <w:r>
        <w:rPr>
          <w:rFonts w:asciiTheme="minorHAnsi" w:hAnsiTheme="minorHAnsi"/>
          <w:sz w:val="22"/>
        </w:rPr>
        <w:t>Dekretu-proiektuaren testua idaztean, Hasteko Agindu honen edukiari begiratuko zaio, kontuan hartuta zer aukera egokituko zaizkien ondoen lortu nahi diren xedeei –betiere, premiaren, efikaziaren, proportzionaltasunaren, segurtasun juridikoaren, gardentasunaren eta efizientziaren printzipioekin bat etorrita– eta egin nahi den arauketaren zuzentasuna eta legezkotasuna bermatzearren komenigarri iritzitako aurretiko kontsultek izandako emaitzei.</w:t>
      </w:r>
    </w:p>
    <w:p w14:paraId="4C5BDA61" w14:textId="77777777" w:rsidR="00185557" w:rsidRPr="009E6701" w:rsidRDefault="00185557" w:rsidP="00185557">
      <w:pPr>
        <w:spacing w:after="160" w:line="360" w:lineRule="auto"/>
        <w:jc w:val="both"/>
        <w:rPr>
          <w:rFonts w:asciiTheme="minorHAnsi" w:hAnsiTheme="minorHAnsi" w:cstheme="minorHAnsi"/>
          <w:sz w:val="22"/>
          <w:szCs w:val="22"/>
        </w:rPr>
      </w:pPr>
      <w:r>
        <w:rPr>
          <w:rFonts w:asciiTheme="minorHAnsi" w:hAnsiTheme="minorHAnsi"/>
          <w:sz w:val="22"/>
        </w:rPr>
        <w:t xml:space="preserve">Dekretu-testu bat idatziko da, zeinak beteko baititu 6/2022 Legean adierazitako jarraibideak eta Gobernu Kontseiluaren 2023ko uztailaren 11ko Erabakiaren bidez onartutako </w:t>
      </w:r>
      <w:r>
        <w:rPr>
          <w:rFonts w:asciiTheme="minorHAnsi" w:hAnsiTheme="minorHAnsi"/>
          <w:i/>
          <w:sz w:val="22"/>
        </w:rPr>
        <w:t>lege-proiektuak, dekretuak, aginduak eta ebazpenak egiteko jarraibideak</w:t>
      </w:r>
      <w:r>
        <w:rPr>
          <w:rFonts w:asciiTheme="minorHAnsi" w:hAnsiTheme="minorHAnsi"/>
          <w:sz w:val="22"/>
        </w:rPr>
        <w:t xml:space="preserve"> (abuztuaren 7ko EHAA, 149. zk.).</w:t>
      </w:r>
    </w:p>
    <w:p w14:paraId="7AD58A82" w14:textId="77777777" w:rsidR="00185557" w:rsidRPr="009E6701" w:rsidRDefault="00185557" w:rsidP="00185557">
      <w:pPr>
        <w:spacing w:after="160" w:line="360" w:lineRule="auto"/>
        <w:jc w:val="both"/>
        <w:rPr>
          <w:rFonts w:asciiTheme="minorHAnsi" w:hAnsiTheme="minorHAnsi" w:cstheme="minorHAnsi"/>
          <w:sz w:val="22"/>
          <w:szCs w:val="22"/>
        </w:rPr>
      </w:pPr>
      <w:r>
        <w:rPr>
          <w:rFonts w:asciiTheme="minorHAnsi" w:hAnsiTheme="minorHAnsi"/>
          <w:sz w:val="22"/>
        </w:rPr>
        <w:t xml:space="preserve">Agindua euskaraz eta gaztelaniaz idatziko da, Euskararen Erabilera Normalizatzeko azaroaren 24ko 10/1982 Oinarrizko Legearen 14.5. artikuluarekin eta Gobernu Kontseiluaren 2013ko maiatzaren 14ko Erabakiarekin bat etorrita (erabaki horren bidez, lege, legegintzako dekretu, dekretu edo agindu izango </w:t>
      </w:r>
      <w:r>
        <w:rPr>
          <w:rFonts w:asciiTheme="minorHAnsi" w:hAnsiTheme="minorHAnsi"/>
          <w:sz w:val="22"/>
        </w:rPr>
        <w:lastRenderedPageBreak/>
        <w:t>diren xedapen orokorren idazketa elebidunerako neurriak onartzen dira). Itzulpen-lana Administrazio Publikoaren Euskal Institutuko Itzultzaile Zerbitzu Ofizialari (IZO) esleituko zaio.</w:t>
      </w:r>
    </w:p>
    <w:p w14:paraId="6D2FA42C" w14:textId="77777777" w:rsidR="00185557" w:rsidRPr="009E6701" w:rsidRDefault="00185557" w:rsidP="00185557">
      <w:pPr>
        <w:spacing w:after="160" w:line="360" w:lineRule="auto"/>
        <w:jc w:val="both"/>
        <w:rPr>
          <w:rFonts w:asciiTheme="minorHAnsi" w:hAnsiTheme="minorHAnsi" w:cstheme="minorHAnsi"/>
          <w:sz w:val="22"/>
          <w:szCs w:val="22"/>
        </w:rPr>
      </w:pPr>
      <w:r>
        <w:rPr>
          <w:rFonts w:asciiTheme="minorHAnsi" w:hAnsiTheme="minorHAnsi"/>
          <w:sz w:val="22"/>
        </w:rPr>
        <w:t>Halaber, testua idazterakoan hizkera ez-sexista eta inklusiboa erabili behar da.</w:t>
      </w:r>
    </w:p>
    <w:p w14:paraId="0FF9A1D5" w14:textId="77777777" w:rsidR="009E6701" w:rsidRDefault="009E6701" w:rsidP="00185557">
      <w:pPr>
        <w:spacing w:after="160" w:line="360" w:lineRule="auto"/>
        <w:jc w:val="both"/>
        <w:rPr>
          <w:rFonts w:asciiTheme="minorHAnsi" w:hAnsiTheme="minorHAnsi" w:cstheme="minorHAnsi"/>
          <w:b/>
          <w:sz w:val="22"/>
          <w:szCs w:val="22"/>
        </w:rPr>
      </w:pPr>
    </w:p>
    <w:p w14:paraId="57BA0B11" w14:textId="61AB9ED8" w:rsidR="00185557" w:rsidRPr="009E6701" w:rsidRDefault="00185557" w:rsidP="00185557">
      <w:pPr>
        <w:spacing w:after="160" w:line="360" w:lineRule="auto"/>
        <w:jc w:val="both"/>
        <w:rPr>
          <w:rFonts w:asciiTheme="minorHAnsi" w:hAnsiTheme="minorHAnsi" w:cstheme="minorHAnsi"/>
          <w:sz w:val="22"/>
          <w:szCs w:val="22"/>
        </w:rPr>
      </w:pPr>
      <w:r>
        <w:rPr>
          <w:rFonts w:asciiTheme="minorHAnsi" w:hAnsiTheme="minorHAnsi"/>
          <w:b/>
          <w:sz w:val="22"/>
        </w:rPr>
        <w:t xml:space="preserve">2. artikulua.- </w:t>
      </w:r>
      <w:r>
        <w:rPr>
          <w:rFonts w:asciiTheme="minorHAnsi" w:hAnsiTheme="minorHAnsi"/>
          <w:sz w:val="22"/>
        </w:rPr>
        <w:t xml:space="preserve"> Ekonomia, Lan eta Enplegu Sailaren Laneko eta Gizarte Segurantzako Zuzendaritza izendatzea prozedura hori izapidetzeko organo gisa.</w:t>
      </w:r>
    </w:p>
    <w:p w14:paraId="7CE89427" w14:textId="77777777" w:rsidR="00347918" w:rsidRDefault="00347918" w:rsidP="00185557">
      <w:pPr>
        <w:spacing w:after="160" w:line="360" w:lineRule="auto"/>
        <w:jc w:val="center"/>
        <w:rPr>
          <w:rFonts w:asciiTheme="minorHAnsi" w:hAnsiTheme="minorHAnsi" w:cstheme="minorHAnsi"/>
          <w:sz w:val="22"/>
          <w:szCs w:val="22"/>
        </w:rPr>
      </w:pPr>
    </w:p>
    <w:p w14:paraId="17477859" w14:textId="3DABA513" w:rsidR="00185557" w:rsidRPr="009E6701" w:rsidRDefault="00185557" w:rsidP="00185557">
      <w:pPr>
        <w:spacing w:after="160" w:line="360" w:lineRule="auto"/>
        <w:jc w:val="center"/>
        <w:rPr>
          <w:rFonts w:asciiTheme="minorHAnsi" w:hAnsiTheme="minorHAnsi" w:cstheme="minorHAnsi"/>
          <w:sz w:val="22"/>
          <w:szCs w:val="22"/>
        </w:rPr>
      </w:pPr>
      <w:r>
        <w:rPr>
          <w:rFonts w:asciiTheme="minorHAnsi" w:hAnsiTheme="minorHAnsi"/>
          <w:sz w:val="22"/>
        </w:rPr>
        <w:t>Vitoria-Gasteiz,</w:t>
      </w:r>
    </w:p>
    <w:p w14:paraId="56B228FE" w14:textId="77777777" w:rsidR="00185557" w:rsidRPr="009E6701" w:rsidRDefault="00185557" w:rsidP="00185557">
      <w:pPr>
        <w:spacing w:after="160" w:line="360" w:lineRule="auto"/>
        <w:jc w:val="center"/>
        <w:rPr>
          <w:rFonts w:asciiTheme="minorHAnsi" w:hAnsiTheme="minorHAnsi" w:cstheme="minorHAnsi"/>
          <w:sz w:val="22"/>
          <w:szCs w:val="22"/>
        </w:rPr>
      </w:pPr>
    </w:p>
    <w:p w14:paraId="0BDB702B" w14:textId="77777777" w:rsidR="00185557" w:rsidRPr="009E6701" w:rsidRDefault="00185557" w:rsidP="00185557">
      <w:pPr>
        <w:spacing w:line="360" w:lineRule="auto"/>
        <w:ind w:right="319"/>
        <w:jc w:val="center"/>
        <w:rPr>
          <w:rFonts w:asciiTheme="minorHAnsi" w:hAnsiTheme="minorHAnsi" w:cstheme="minorHAnsi"/>
          <w:b/>
          <w:sz w:val="22"/>
          <w:szCs w:val="22"/>
        </w:rPr>
      </w:pPr>
      <w:r>
        <w:rPr>
          <w:rFonts w:asciiTheme="minorHAnsi" w:hAnsiTheme="minorHAnsi"/>
          <w:b/>
          <w:sz w:val="22"/>
        </w:rPr>
        <w:t>Izpta.: Miguel Torres Lorenzo</w:t>
      </w:r>
    </w:p>
    <w:p w14:paraId="7C6AD791" w14:textId="77777777" w:rsidR="00185557" w:rsidRPr="009E6701" w:rsidRDefault="00185557" w:rsidP="00185557">
      <w:pPr>
        <w:spacing w:line="360" w:lineRule="auto"/>
        <w:jc w:val="center"/>
        <w:rPr>
          <w:rFonts w:asciiTheme="minorHAnsi" w:hAnsiTheme="minorHAnsi" w:cstheme="minorHAnsi"/>
          <w:b/>
          <w:sz w:val="22"/>
          <w:szCs w:val="22"/>
        </w:rPr>
      </w:pPr>
      <w:r>
        <w:rPr>
          <w:rFonts w:asciiTheme="minorHAnsi" w:hAnsiTheme="minorHAnsi"/>
          <w:b/>
          <w:sz w:val="22"/>
        </w:rPr>
        <w:t>BIGARREN LEHENDAKARIORDE</w:t>
      </w:r>
    </w:p>
    <w:p w14:paraId="29DCCD7D" w14:textId="77777777" w:rsidR="00185557" w:rsidRPr="009E6701" w:rsidRDefault="00185557" w:rsidP="00185557">
      <w:pPr>
        <w:spacing w:line="360" w:lineRule="auto"/>
        <w:jc w:val="center"/>
        <w:rPr>
          <w:rFonts w:asciiTheme="minorHAnsi" w:hAnsiTheme="minorHAnsi" w:cstheme="minorHAnsi"/>
          <w:sz w:val="22"/>
          <w:szCs w:val="22"/>
        </w:rPr>
      </w:pPr>
      <w:r>
        <w:rPr>
          <w:rFonts w:asciiTheme="minorHAnsi" w:hAnsiTheme="minorHAnsi"/>
          <w:b/>
          <w:sz w:val="22"/>
        </w:rPr>
        <w:t>ETA EKONOMIA, LAN ETA ENPLEGUKO SAILBURUA</w:t>
      </w:r>
    </w:p>
    <w:p w14:paraId="3D32E883" w14:textId="0494FEA1" w:rsidR="00734984" w:rsidRPr="009E6701" w:rsidRDefault="00734984" w:rsidP="007902BA">
      <w:pPr>
        <w:jc w:val="center"/>
        <w:rPr>
          <w:rFonts w:asciiTheme="minorHAnsi" w:hAnsiTheme="minorHAnsi" w:cstheme="minorHAnsi"/>
          <w:b/>
          <w:sz w:val="22"/>
          <w:szCs w:val="22"/>
        </w:rPr>
      </w:pPr>
    </w:p>
    <w:sectPr w:rsidR="00734984" w:rsidRPr="009E6701" w:rsidSect="00B76AC5">
      <w:headerReference w:type="default" r:id="rId11"/>
      <w:footerReference w:type="default" r:id="rId12"/>
      <w:headerReference w:type="first" r:id="rId13"/>
      <w:footerReference w:type="first" r:id="rId14"/>
      <w:pgSz w:w="11906" w:h="16838"/>
      <w:pgMar w:top="2245" w:right="1133" w:bottom="1418" w:left="1560" w:header="851" w:footer="7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C0913" w14:textId="77777777" w:rsidR="00667876" w:rsidRDefault="00667876">
      <w:r>
        <w:separator/>
      </w:r>
    </w:p>
  </w:endnote>
  <w:endnote w:type="continuationSeparator" w:id="0">
    <w:p w14:paraId="06853B80" w14:textId="77777777" w:rsidR="00667876" w:rsidRDefault="0066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enturyExpanded-Ital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692728"/>
      <w:docPartObj>
        <w:docPartGallery w:val="Page Numbers (Bottom of Page)"/>
        <w:docPartUnique/>
      </w:docPartObj>
    </w:sdtPr>
    <w:sdtEndPr>
      <w:rPr>
        <w:sz w:val="18"/>
        <w:szCs w:val="18"/>
      </w:rPr>
    </w:sdtEndPr>
    <w:sdtContent>
      <w:p w14:paraId="66028E6F" w14:textId="73844FA5" w:rsidR="00407333" w:rsidRPr="003B6433" w:rsidRDefault="00DC2418">
        <w:pPr>
          <w:pStyle w:val="Piedepgina"/>
          <w:jc w:val="center"/>
          <w:rPr>
            <w:sz w:val="18"/>
            <w:szCs w:val="18"/>
          </w:rPr>
        </w:pPr>
        <w:r w:rsidRPr="003B6433">
          <w:rPr>
            <w:sz w:val="18"/>
          </w:rPr>
          <w:fldChar w:fldCharType="begin"/>
        </w:r>
        <w:r w:rsidRPr="003B6433">
          <w:rPr>
            <w:sz w:val="18"/>
          </w:rPr>
          <w:instrText>PAGE   \* MERGEFORMAT</w:instrText>
        </w:r>
        <w:r w:rsidRPr="003B6433">
          <w:rPr>
            <w:sz w:val="18"/>
          </w:rPr>
          <w:fldChar w:fldCharType="separate"/>
        </w:r>
        <w:r w:rsidR="00347918" w:rsidRPr="00347918">
          <w:rPr>
            <w:sz w:val="18"/>
          </w:rPr>
          <w:t>7</w:t>
        </w:r>
        <w:r w:rsidRPr="003B6433">
          <w:rPr>
            <w:sz w:val="18"/>
          </w:rPr>
          <w:fldChar w:fldCharType="end"/>
        </w:r>
        <w:r>
          <w:rPr>
            <w:sz w:val="18"/>
          </w:rPr>
          <w:t>/7</w:t>
        </w:r>
      </w:p>
    </w:sdtContent>
  </w:sdt>
  <w:p w14:paraId="0B1F12EB" w14:textId="77777777" w:rsidR="00407333" w:rsidRPr="00BE1D5C" w:rsidRDefault="00407333" w:rsidP="00BE1D5C">
    <w:pPr>
      <w:pStyle w:val="Piedepgina"/>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587145"/>
      <w:docPartObj>
        <w:docPartGallery w:val="Page Numbers (Bottom of Page)"/>
        <w:docPartUnique/>
      </w:docPartObj>
    </w:sdtPr>
    <w:sdtEndPr/>
    <w:sdtContent>
      <w:p w14:paraId="5820D488" w14:textId="1DED8B65" w:rsidR="00DD27F9" w:rsidRDefault="00C21F19" w:rsidP="00DD27F9">
        <w:pPr>
          <w:pStyle w:val="Piedepgina"/>
          <w:jc w:val="center"/>
        </w:pPr>
      </w:p>
    </w:sdtContent>
  </w:sdt>
  <w:p w14:paraId="36F71FF0" w14:textId="77777777" w:rsidR="00407333" w:rsidRPr="00DD27F9" w:rsidRDefault="00407333" w:rsidP="00DD27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E0D3F" w14:textId="77777777" w:rsidR="00667876" w:rsidRDefault="00667876">
      <w:r>
        <w:separator/>
      </w:r>
    </w:p>
  </w:footnote>
  <w:footnote w:type="continuationSeparator" w:id="0">
    <w:p w14:paraId="2A377E90" w14:textId="77777777" w:rsidR="00667876" w:rsidRDefault="00667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EBDCC" w14:textId="77777777" w:rsidR="00407333" w:rsidRDefault="00DC2418" w:rsidP="00610D38">
    <w:pPr>
      <w:pStyle w:val="Encabezado"/>
      <w:jc w:val="center"/>
    </w:pPr>
    <w:r>
      <w:rPr>
        <w:rFonts w:ascii="CenturyExpanded-Italic" w:hAnsi="CenturyExpanded-Italic"/>
        <w:i/>
        <w:noProof/>
        <w:sz w:val="25"/>
      </w:rPr>
      <w:drawing>
        <wp:anchor distT="0" distB="0" distL="114300" distR="114300" simplePos="0" relativeHeight="251659264" behindDoc="0" locked="0" layoutInCell="1" allowOverlap="1" wp14:anchorId="10730650" wp14:editId="27C5DD7E">
          <wp:simplePos x="0" y="0"/>
          <wp:positionH relativeFrom="margin">
            <wp:align>center</wp:align>
          </wp:positionH>
          <wp:positionV relativeFrom="paragraph">
            <wp:posOffset>-180340</wp:posOffset>
          </wp:positionV>
          <wp:extent cx="882000" cy="720000"/>
          <wp:effectExtent l="0" t="0" r="0" b="4445"/>
          <wp:wrapNone/>
          <wp:docPr id="3" name="Irudia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J_bertikala_GRISA.png"/>
                  <pic:cNvPicPr/>
                </pic:nvPicPr>
                <pic:blipFill>
                  <a:blip r:embed="rId1">
                    <a:extLst>
                      <a:ext uri="{28A0092B-C50C-407E-A947-70E740481C1C}">
                        <a14:useLocalDpi xmlns:a14="http://schemas.microsoft.com/office/drawing/2010/main" val="0"/>
                      </a:ext>
                    </a:extLst>
                  </a:blip>
                  <a:stretch>
                    <a:fillRect/>
                  </a:stretch>
                </pic:blipFill>
                <pic:spPr>
                  <a:xfrm>
                    <a:off x="0" y="0"/>
                    <a:ext cx="882000" cy="72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8F4C2" w14:textId="0728DC2A" w:rsidR="00407333" w:rsidRPr="0098520D" w:rsidRDefault="00DC2418" w:rsidP="00610D38">
    <w:pPr>
      <w:autoSpaceDE w:val="0"/>
      <w:autoSpaceDN w:val="0"/>
      <w:adjustRightInd w:val="0"/>
      <w:jc w:val="center"/>
      <w:rPr>
        <w:rFonts w:ascii="CenturyExpanded-Italic" w:hAnsi="CenturyExpanded-Italic" w:cs="CenturyExpanded-Italic"/>
        <w:i/>
        <w:iCs/>
        <w:color w:val="000000" w:themeColor="text1"/>
        <w:sz w:val="25"/>
        <w:szCs w:val="25"/>
      </w:rPr>
    </w:pPr>
    <w:r>
      <w:rPr>
        <w:rFonts w:ascii="CenturyExpanded-Italic" w:hAnsi="CenturyExpanded-Italic"/>
        <w:i/>
        <w:noProof/>
        <w:color w:val="000000" w:themeColor="text1"/>
        <w:sz w:val="25"/>
      </w:rPr>
      <w:drawing>
        <wp:inline distT="0" distB="0" distL="0" distR="0" wp14:anchorId="6CCEE79D" wp14:editId="58985EC1">
          <wp:extent cx="1234800" cy="1008000"/>
          <wp:effectExtent l="0" t="0" r="3810" b="1905"/>
          <wp:docPr id="4" name="Irudia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J_bertikala_GRISA.png"/>
                  <pic:cNvPicPr/>
                </pic:nvPicPr>
                <pic:blipFill>
                  <a:blip r:embed="rId1">
                    <a:extLst>
                      <a:ext uri="{28A0092B-C50C-407E-A947-70E740481C1C}">
                        <a14:useLocalDpi xmlns:a14="http://schemas.microsoft.com/office/drawing/2010/main" val="0"/>
                      </a:ext>
                    </a:extLst>
                  </a:blip>
                  <a:stretch>
                    <a:fillRect/>
                  </a:stretch>
                </pic:blipFill>
                <pic:spPr>
                  <a:xfrm>
                    <a:off x="0" y="0"/>
                    <a:ext cx="1234800" cy="1008000"/>
                  </a:xfrm>
                  <a:prstGeom prst="rect">
                    <a:avLst/>
                  </a:prstGeom>
                </pic:spPr>
              </pic:pic>
            </a:graphicData>
          </a:graphic>
        </wp:inline>
      </w:drawing>
    </w:r>
  </w:p>
  <w:p w14:paraId="65928872" w14:textId="77777777" w:rsidR="00407333" w:rsidRPr="0098520D" w:rsidRDefault="00407333" w:rsidP="00610D38">
    <w:pPr>
      <w:autoSpaceDE w:val="0"/>
      <w:autoSpaceDN w:val="0"/>
      <w:adjustRightInd w:val="0"/>
      <w:jc w:val="center"/>
      <w:rPr>
        <w:rFonts w:ascii="CenturyExpanded-Italic" w:hAnsi="CenturyExpanded-Italic" w:cs="CenturyExpanded-Italic"/>
        <w:i/>
        <w:iCs/>
        <w:color w:val="000000" w:themeColor="text1"/>
        <w:sz w:val="25"/>
        <w:szCs w:val="25"/>
      </w:rPr>
    </w:pPr>
  </w:p>
  <w:p w14:paraId="3D31CA89" w14:textId="77777777" w:rsidR="008535CA" w:rsidRPr="008535CA" w:rsidRDefault="008535CA" w:rsidP="008535CA">
    <w:pPr>
      <w:pStyle w:val="Encabezado"/>
      <w:jc w:val="center"/>
      <w:rPr>
        <w:rFonts w:ascii="CenturyExpanded-Italic" w:hAnsi="CenturyExpanded-Italic" w:cs="CenturyExpanded-Italic"/>
        <w:i/>
        <w:iCs/>
        <w:color w:val="000000" w:themeColor="text1"/>
        <w:sz w:val="25"/>
        <w:szCs w:val="25"/>
      </w:rPr>
    </w:pPr>
    <w:r>
      <w:rPr>
        <w:rFonts w:ascii="CenturyExpanded-Italic" w:hAnsi="CenturyExpanded-Italic"/>
        <w:i/>
        <w:color w:val="000000" w:themeColor="text1"/>
        <w:sz w:val="25"/>
      </w:rPr>
      <w:t>Bigarren lehendakariorde eta Ekonomia, Lan eta Enpleguko sailburua</w:t>
    </w:r>
  </w:p>
  <w:p w14:paraId="373F6FE4" w14:textId="3A33B55F" w:rsidR="00407333" w:rsidRPr="0098520D" w:rsidRDefault="008535CA" w:rsidP="008535CA">
    <w:pPr>
      <w:pStyle w:val="Encabezado"/>
      <w:jc w:val="center"/>
      <w:rPr>
        <w:color w:val="000000" w:themeColor="text1"/>
      </w:rPr>
    </w:pPr>
    <w:proofErr w:type="spellStart"/>
    <w:r>
      <w:rPr>
        <w:rFonts w:ascii="CenturyExpanded-Italic" w:hAnsi="CenturyExpanded-Italic"/>
        <w:i/>
        <w:color w:val="000000" w:themeColor="text1"/>
        <w:sz w:val="25"/>
      </w:rPr>
      <w:t>Vicepresidente</w:t>
    </w:r>
    <w:proofErr w:type="spellEnd"/>
    <w:r>
      <w:rPr>
        <w:rFonts w:ascii="CenturyExpanded-Italic" w:hAnsi="CenturyExpanded-Italic"/>
        <w:i/>
        <w:color w:val="000000" w:themeColor="text1"/>
        <w:sz w:val="25"/>
      </w:rPr>
      <w:t xml:space="preserve"> Segundo y </w:t>
    </w:r>
    <w:proofErr w:type="spellStart"/>
    <w:r>
      <w:rPr>
        <w:rFonts w:ascii="CenturyExpanded-Italic" w:hAnsi="CenturyExpanded-Italic"/>
        <w:i/>
        <w:color w:val="000000" w:themeColor="text1"/>
        <w:sz w:val="25"/>
      </w:rPr>
      <w:t>Consejero</w:t>
    </w:r>
    <w:proofErr w:type="spellEnd"/>
    <w:r>
      <w:rPr>
        <w:rFonts w:ascii="CenturyExpanded-Italic" w:hAnsi="CenturyExpanded-Italic"/>
        <w:i/>
        <w:color w:val="000000" w:themeColor="text1"/>
        <w:sz w:val="25"/>
      </w:rPr>
      <w:t xml:space="preserve"> de </w:t>
    </w:r>
    <w:proofErr w:type="spellStart"/>
    <w:r>
      <w:rPr>
        <w:rFonts w:ascii="CenturyExpanded-Italic" w:hAnsi="CenturyExpanded-Italic"/>
        <w:i/>
        <w:color w:val="000000" w:themeColor="text1"/>
        <w:sz w:val="25"/>
      </w:rPr>
      <w:t>Economía</w:t>
    </w:r>
    <w:proofErr w:type="spellEnd"/>
    <w:r>
      <w:rPr>
        <w:rFonts w:ascii="CenturyExpanded-Italic" w:hAnsi="CenturyExpanded-Italic"/>
        <w:i/>
        <w:color w:val="000000" w:themeColor="text1"/>
        <w:sz w:val="25"/>
      </w:rPr>
      <w:t xml:space="preserve">, Trabajo y </w:t>
    </w:r>
    <w:proofErr w:type="spellStart"/>
    <w:r>
      <w:rPr>
        <w:rFonts w:ascii="CenturyExpanded-Italic" w:hAnsi="CenturyExpanded-Italic"/>
        <w:i/>
        <w:color w:val="000000" w:themeColor="text1"/>
        <w:sz w:val="25"/>
      </w:rPr>
      <w:t>Empleo</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A17AD"/>
    <w:multiLevelType w:val="hybridMultilevel"/>
    <w:tmpl w:val="C8BECA2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1562BD4E"/>
    <w:multiLevelType w:val="hybridMultilevel"/>
    <w:tmpl w:val="C08AEC20"/>
    <w:lvl w:ilvl="0" w:tplc="13225890">
      <w:start w:val="1"/>
      <w:numFmt w:val="decimal"/>
      <w:lvlText w:val="%1."/>
      <w:lvlJc w:val="left"/>
      <w:pPr>
        <w:ind w:left="1428" w:hanging="360"/>
      </w:pPr>
    </w:lvl>
    <w:lvl w:ilvl="1" w:tplc="FB5EFE52">
      <w:start w:val="1"/>
      <w:numFmt w:val="lowerLetter"/>
      <w:lvlText w:val="%2."/>
      <w:lvlJc w:val="left"/>
      <w:pPr>
        <w:ind w:left="2148" w:hanging="360"/>
      </w:pPr>
    </w:lvl>
    <w:lvl w:ilvl="2" w:tplc="4EB4E64E">
      <w:start w:val="1"/>
      <w:numFmt w:val="lowerRoman"/>
      <w:lvlText w:val="%3."/>
      <w:lvlJc w:val="right"/>
      <w:pPr>
        <w:ind w:left="2868" w:hanging="180"/>
      </w:pPr>
    </w:lvl>
    <w:lvl w:ilvl="3" w:tplc="C56410BE">
      <w:start w:val="1"/>
      <w:numFmt w:val="decimal"/>
      <w:lvlText w:val="%4."/>
      <w:lvlJc w:val="left"/>
      <w:pPr>
        <w:ind w:left="3588" w:hanging="360"/>
      </w:pPr>
    </w:lvl>
    <w:lvl w:ilvl="4" w:tplc="A458396E">
      <w:start w:val="1"/>
      <w:numFmt w:val="lowerLetter"/>
      <w:lvlText w:val="%5."/>
      <w:lvlJc w:val="left"/>
      <w:pPr>
        <w:ind w:left="4308" w:hanging="360"/>
      </w:pPr>
    </w:lvl>
    <w:lvl w:ilvl="5" w:tplc="9A868088">
      <w:start w:val="1"/>
      <w:numFmt w:val="lowerRoman"/>
      <w:lvlText w:val="%6."/>
      <w:lvlJc w:val="right"/>
      <w:pPr>
        <w:ind w:left="5028" w:hanging="180"/>
      </w:pPr>
    </w:lvl>
    <w:lvl w:ilvl="6" w:tplc="57629B22">
      <w:start w:val="1"/>
      <w:numFmt w:val="decimal"/>
      <w:lvlText w:val="%7."/>
      <w:lvlJc w:val="left"/>
      <w:pPr>
        <w:ind w:left="5748" w:hanging="360"/>
      </w:pPr>
    </w:lvl>
    <w:lvl w:ilvl="7" w:tplc="E2EAE7FA">
      <w:start w:val="1"/>
      <w:numFmt w:val="lowerLetter"/>
      <w:lvlText w:val="%8."/>
      <w:lvlJc w:val="left"/>
      <w:pPr>
        <w:ind w:left="6468" w:hanging="360"/>
      </w:pPr>
    </w:lvl>
    <w:lvl w:ilvl="8" w:tplc="EE92F162">
      <w:start w:val="1"/>
      <w:numFmt w:val="lowerRoman"/>
      <w:lvlText w:val="%9."/>
      <w:lvlJc w:val="right"/>
      <w:pPr>
        <w:ind w:left="7188" w:hanging="180"/>
      </w:pPr>
    </w:lvl>
  </w:abstractNum>
  <w:abstractNum w:abstractNumId="2" w15:restartNumberingAfterBreak="0">
    <w:nsid w:val="18C72EC9"/>
    <w:multiLevelType w:val="hybridMultilevel"/>
    <w:tmpl w:val="A8EE203E"/>
    <w:lvl w:ilvl="0" w:tplc="92D0A8BC">
      <w:numFmt w:val="bullet"/>
      <w:lvlText w:val="-"/>
      <w:lvlJc w:val="left"/>
      <w:pPr>
        <w:ind w:left="1069" w:hanging="360"/>
      </w:pPr>
      <w:rPr>
        <w:rFonts w:ascii="Arial" w:eastAsia="Times New Roman" w:hAnsi="Arial" w:cs="Arial" w:hint="default"/>
      </w:rPr>
    </w:lvl>
    <w:lvl w:ilvl="1" w:tplc="042D0003" w:tentative="1">
      <w:start w:val="1"/>
      <w:numFmt w:val="bullet"/>
      <w:lvlText w:val="o"/>
      <w:lvlJc w:val="left"/>
      <w:pPr>
        <w:ind w:left="1789" w:hanging="360"/>
      </w:pPr>
      <w:rPr>
        <w:rFonts w:ascii="Courier New" w:hAnsi="Courier New" w:cs="Courier New" w:hint="default"/>
      </w:rPr>
    </w:lvl>
    <w:lvl w:ilvl="2" w:tplc="042D0005" w:tentative="1">
      <w:start w:val="1"/>
      <w:numFmt w:val="bullet"/>
      <w:lvlText w:val=""/>
      <w:lvlJc w:val="left"/>
      <w:pPr>
        <w:ind w:left="2509" w:hanging="360"/>
      </w:pPr>
      <w:rPr>
        <w:rFonts w:ascii="Wingdings" w:hAnsi="Wingdings" w:hint="default"/>
      </w:rPr>
    </w:lvl>
    <w:lvl w:ilvl="3" w:tplc="042D0001" w:tentative="1">
      <w:start w:val="1"/>
      <w:numFmt w:val="bullet"/>
      <w:lvlText w:val=""/>
      <w:lvlJc w:val="left"/>
      <w:pPr>
        <w:ind w:left="3229" w:hanging="360"/>
      </w:pPr>
      <w:rPr>
        <w:rFonts w:ascii="Symbol" w:hAnsi="Symbol" w:hint="default"/>
      </w:rPr>
    </w:lvl>
    <w:lvl w:ilvl="4" w:tplc="042D0003" w:tentative="1">
      <w:start w:val="1"/>
      <w:numFmt w:val="bullet"/>
      <w:lvlText w:val="o"/>
      <w:lvlJc w:val="left"/>
      <w:pPr>
        <w:ind w:left="3949" w:hanging="360"/>
      </w:pPr>
      <w:rPr>
        <w:rFonts w:ascii="Courier New" w:hAnsi="Courier New" w:cs="Courier New" w:hint="default"/>
      </w:rPr>
    </w:lvl>
    <w:lvl w:ilvl="5" w:tplc="042D0005" w:tentative="1">
      <w:start w:val="1"/>
      <w:numFmt w:val="bullet"/>
      <w:lvlText w:val=""/>
      <w:lvlJc w:val="left"/>
      <w:pPr>
        <w:ind w:left="4669" w:hanging="360"/>
      </w:pPr>
      <w:rPr>
        <w:rFonts w:ascii="Wingdings" w:hAnsi="Wingdings" w:hint="default"/>
      </w:rPr>
    </w:lvl>
    <w:lvl w:ilvl="6" w:tplc="042D0001" w:tentative="1">
      <w:start w:val="1"/>
      <w:numFmt w:val="bullet"/>
      <w:lvlText w:val=""/>
      <w:lvlJc w:val="left"/>
      <w:pPr>
        <w:ind w:left="5389" w:hanging="360"/>
      </w:pPr>
      <w:rPr>
        <w:rFonts w:ascii="Symbol" w:hAnsi="Symbol" w:hint="default"/>
      </w:rPr>
    </w:lvl>
    <w:lvl w:ilvl="7" w:tplc="042D0003" w:tentative="1">
      <w:start w:val="1"/>
      <w:numFmt w:val="bullet"/>
      <w:lvlText w:val="o"/>
      <w:lvlJc w:val="left"/>
      <w:pPr>
        <w:ind w:left="6109" w:hanging="360"/>
      </w:pPr>
      <w:rPr>
        <w:rFonts w:ascii="Courier New" w:hAnsi="Courier New" w:cs="Courier New" w:hint="default"/>
      </w:rPr>
    </w:lvl>
    <w:lvl w:ilvl="8" w:tplc="042D0005" w:tentative="1">
      <w:start w:val="1"/>
      <w:numFmt w:val="bullet"/>
      <w:lvlText w:val=""/>
      <w:lvlJc w:val="left"/>
      <w:pPr>
        <w:ind w:left="6829" w:hanging="360"/>
      </w:pPr>
      <w:rPr>
        <w:rFonts w:ascii="Wingdings" w:hAnsi="Wingdings" w:hint="default"/>
      </w:rPr>
    </w:lvl>
  </w:abstractNum>
  <w:abstractNum w:abstractNumId="3" w15:restartNumberingAfterBreak="0">
    <w:nsid w:val="27C55AB5"/>
    <w:multiLevelType w:val="hybridMultilevel"/>
    <w:tmpl w:val="18F838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9D03D70"/>
    <w:multiLevelType w:val="hybridMultilevel"/>
    <w:tmpl w:val="6AF846E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5" w15:restartNumberingAfterBreak="0">
    <w:nsid w:val="2CA1641A"/>
    <w:multiLevelType w:val="hybridMultilevel"/>
    <w:tmpl w:val="F25C344E"/>
    <w:lvl w:ilvl="0" w:tplc="FD22BBA4">
      <w:numFmt w:val="bullet"/>
      <w:lvlText w:val="-"/>
      <w:lvlJc w:val="left"/>
      <w:pPr>
        <w:ind w:left="1069" w:hanging="360"/>
      </w:pPr>
      <w:rPr>
        <w:rFonts w:ascii="Calibri" w:eastAsia="Times New Roman" w:hAnsi="Calibri" w:cs="Calibri" w:hint="default"/>
      </w:rPr>
    </w:lvl>
    <w:lvl w:ilvl="1" w:tplc="042D0003" w:tentative="1">
      <w:start w:val="1"/>
      <w:numFmt w:val="bullet"/>
      <w:lvlText w:val="o"/>
      <w:lvlJc w:val="left"/>
      <w:pPr>
        <w:ind w:left="1789" w:hanging="360"/>
      </w:pPr>
      <w:rPr>
        <w:rFonts w:ascii="Courier New" w:hAnsi="Courier New" w:cs="Courier New" w:hint="default"/>
      </w:rPr>
    </w:lvl>
    <w:lvl w:ilvl="2" w:tplc="042D0005" w:tentative="1">
      <w:start w:val="1"/>
      <w:numFmt w:val="bullet"/>
      <w:lvlText w:val=""/>
      <w:lvlJc w:val="left"/>
      <w:pPr>
        <w:ind w:left="2509" w:hanging="360"/>
      </w:pPr>
      <w:rPr>
        <w:rFonts w:ascii="Wingdings" w:hAnsi="Wingdings" w:hint="default"/>
      </w:rPr>
    </w:lvl>
    <w:lvl w:ilvl="3" w:tplc="042D0001" w:tentative="1">
      <w:start w:val="1"/>
      <w:numFmt w:val="bullet"/>
      <w:lvlText w:val=""/>
      <w:lvlJc w:val="left"/>
      <w:pPr>
        <w:ind w:left="3229" w:hanging="360"/>
      </w:pPr>
      <w:rPr>
        <w:rFonts w:ascii="Symbol" w:hAnsi="Symbol" w:hint="default"/>
      </w:rPr>
    </w:lvl>
    <w:lvl w:ilvl="4" w:tplc="042D0003" w:tentative="1">
      <w:start w:val="1"/>
      <w:numFmt w:val="bullet"/>
      <w:lvlText w:val="o"/>
      <w:lvlJc w:val="left"/>
      <w:pPr>
        <w:ind w:left="3949" w:hanging="360"/>
      </w:pPr>
      <w:rPr>
        <w:rFonts w:ascii="Courier New" w:hAnsi="Courier New" w:cs="Courier New" w:hint="default"/>
      </w:rPr>
    </w:lvl>
    <w:lvl w:ilvl="5" w:tplc="042D0005" w:tentative="1">
      <w:start w:val="1"/>
      <w:numFmt w:val="bullet"/>
      <w:lvlText w:val=""/>
      <w:lvlJc w:val="left"/>
      <w:pPr>
        <w:ind w:left="4669" w:hanging="360"/>
      </w:pPr>
      <w:rPr>
        <w:rFonts w:ascii="Wingdings" w:hAnsi="Wingdings" w:hint="default"/>
      </w:rPr>
    </w:lvl>
    <w:lvl w:ilvl="6" w:tplc="042D0001" w:tentative="1">
      <w:start w:val="1"/>
      <w:numFmt w:val="bullet"/>
      <w:lvlText w:val=""/>
      <w:lvlJc w:val="left"/>
      <w:pPr>
        <w:ind w:left="5389" w:hanging="360"/>
      </w:pPr>
      <w:rPr>
        <w:rFonts w:ascii="Symbol" w:hAnsi="Symbol" w:hint="default"/>
      </w:rPr>
    </w:lvl>
    <w:lvl w:ilvl="7" w:tplc="042D0003" w:tentative="1">
      <w:start w:val="1"/>
      <w:numFmt w:val="bullet"/>
      <w:lvlText w:val="o"/>
      <w:lvlJc w:val="left"/>
      <w:pPr>
        <w:ind w:left="6109" w:hanging="360"/>
      </w:pPr>
      <w:rPr>
        <w:rFonts w:ascii="Courier New" w:hAnsi="Courier New" w:cs="Courier New" w:hint="default"/>
      </w:rPr>
    </w:lvl>
    <w:lvl w:ilvl="8" w:tplc="042D0005" w:tentative="1">
      <w:start w:val="1"/>
      <w:numFmt w:val="bullet"/>
      <w:lvlText w:val=""/>
      <w:lvlJc w:val="left"/>
      <w:pPr>
        <w:ind w:left="6829" w:hanging="360"/>
      </w:pPr>
      <w:rPr>
        <w:rFonts w:ascii="Wingdings" w:hAnsi="Wingdings" w:hint="default"/>
      </w:rPr>
    </w:lvl>
  </w:abstractNum>
  <w:abstractNum w:abstractNumId="6" w15:restartNumberingAfterBreak="0">
    <w:nsid w:val="3DE06B32"/>
    <w:multiLevelType w:val="hybridMultilevel"/>
    <w:tmpl w:val="C8BECA2C"/>
    <w:lvl w:ilvl="0" w:tplc="193C5A54">
      <w:start w:val="1"/>
      <w:numFmt w:val="decimal"/>
      <w:lvlText w:val="%1)"/>
      <w:lvlJc w:val="left"/>
      <w:pPr>
        <w:ind w:left="1069" w:hanging="360"/>
      </w:pPr>
      <w:rPr>
        <w:rFonts w:hint="default"/>
      </w:rPr>
    </w:lvl>
    <w:lvl w:ilvl="1" w:tplc="042D0019" w:tentative="1">
      <w:start w:val="1"/>
      <w:numFmt w:val="lowerLetter"/>
      <w:lvlText w:val="%2."/>
      <w:lvlJc w:val="left"/>
      <w:pPr>
        <w:ind w:left="1789" w:hanging="360"/>
      </w:pPr>
    </w:lvl>
    <w:lvl w:ilvl="2" w:tplc="042D001B" w:tentative="1">
      <w:start w:val="1"/>
      <w:numFmt w:val="lowerRoman"/>
      <w:lvlText w:val="%3."/>
      <w:lvlJc w:val="right"/>
      <w:pPr>
        <w:ind w:left="2509" w:hanging="180"/>
      </w:pPr>
    </w:lvl>
    <w:lvl w:ilvl="3" w:tplc="042D000F" w:tentative="1">
      <w:start w:val="1"/>
      <w:numFmt w:val="decimal"/>
      <w:lvlText w:val="%4."/>
      <w:lvlJc w:val="left"/>
      <w:pPr>
        <w:ind w:left="3229" w:hanging="360"/>
      </w:pPr>
    </w:lvl>
    <w:lvl w:ilvl="4" w:tplc="042D0019" w:tentative="1">
      <w:start w:val="1"/>
      <w:numFmt w:val="lowerLetter"/>
      <w:lvlText w:val="%5."/>
      <w:lvlJc w:val="left"/>
      <w:pPr>
        <w:ind w:left="3949" w:hanging="360"/>
      </w:pPr>
    </w:lvl>
    <w:lvl w:ilvl="5" w:tplc="042D001B" w:tentative="1">
      <w:start w:val="1"/>
      <w:numFmt w:val="lowerRoman"/>
      <w:lvlText w:val="%6."/>
      <w:lvlJc w:val="right"/>
      <w:pPr>
        <w:ind w:left="4669" w:hanging="180"/>
      </w:pPr>
    </w:lvl>
    <w:lvl w:ilvl="6" w:tplc="042D000F" w:tentative="1">
      <w:start w:val="1"/>
      <w:numFmt w:val="decimal"/>
      <w:lvlText w:val="%7."/>
      <w:lvlJc w:val="left"/>
      <w:pPr>
        <w:ind w:left="5389" w:hanging="360"/>
      </w:pPr>
    </w:lvl>
    <w:lvl w:ilvl="7" w:tplc="042D0019" w:tentative="1">
      <w:start w:val="1"/>
      <w:numFmt w:val="lowerLetter"/>
      <w:lvlText w:val="%8."/>
      <w:lvlJc w:val="left"/>
      <w:pPr>
        <w:ind w:left="6109" w:hanging="360"/>
      </w:pPr>
    </w:lvl>
    <w:lvl w:ilvl="8" w:tplc="042D001B" w:tentative="1">
      <w:start w:val="1"/>
      <w:numFmt w:val="lowerRoman"/>
      <w:lvlText w:val="%9."/>
      <w:lvlJc w:val="right"/>
      <w:pPr>
        <w:ind w:left="6829" w:hanging="180"/>
      </w:pPr>
    </w:lvl>
  </w:abstractNum>
  <w:abstractNum w:abstractNumId="7" w15:restartNumberingAfterBreak="0">
    <w:nsid w:val="63D666E5"/>
    <w:multiLevelType w:val="hybridMultilevel"/>
    <w:tmpl w:val="EDBA8210"/>
    <w:lvl w:ilvl="0" w:tplc="4E70B374">
      <w:start w:val="8"/>
      <w:numFmt w:val="bullet"/>
      <w:lvlText w:val="-"/>
      <w:lvlJc w:val="left"/>
      <w:pPr>
        <w:ind w:left="1069" w:hanging="360"/>
      </w:pPr>
      <w:rPr>
        <w:rFonts w:ascii="Calibri" w:eastAsia="Times New Roman" w:hAnsi="Calibri" w:cs="Calibri" w:hint="default"/>
      </w:rPr>
    </w:lvl>
    <w:lvl w:ilvl="1" w:tplc="042D0003" w:tentative="1">
      <w:start w:val="1"/>
      <w:numFmt w:val="bullet"/>
      <w:lvlText w:val="o"/>
      <w:lvlJc w:val="left"/>
      <w:pPr>
        <w:ind w:left="1789" w:hanging="360"/>
      </w:pPr>
      <w:rPr>
        <w:rFonts w:ascii="Courier New" w:hAnsi="Courier New" w:cs="Courier New" w:hint="default"/>
      </w:rPr>
    </w:lvl>
    <w:lvl w:ilvl="2" w:tplc="042D0005" w:tentative="1">
      <w:start w:val="1"/>
      <w:numFmt w:val="bullet"/>
      <w:lvlText w:val=""/>
      <w:lvlJc w:val="left"/>
      <w:pPr>
        <w:ind w:left="2509" w:hanging="360"/>
      </w:pPr>
      <w:rPr>
        <w:rFonts w:ascii="Wingdings" w:hAnsi="Wingdings" w:hint="default"/>
      </w:rPr>
    </w:lvl>
    <w:lvl w:ilvl="3" w:tplc="042D0001" w:tentative="1">
      <w:start w:val="1"/>
      <w:numFmt w:val="bullet"/>
      <w:lvlText w:val=""/>
      <w:lvlJc w:val="left"/>
      <w:pPr>
        <w:ind w:left="3229" w:hanging="360"/>
      </w:pPr>
      <w:rPr>
        <w:rFonts w:ascii="Symbol" w:hAnsi="Symbol" w:hint="default"/>
      </w:rPr>
    </w:lvl>
    <w:lvl w:ilvl="4" w:tplc="042D0003" w:tentative="1">
      <w:start w:val="1"/>
      <w:numFmt w:val="bullet"/>
      <w:lvlText w:val="o"/>
      <w:lvlJc w:val="left"/>
      <w:pPr>
        <w:ind w:left="3949" w:hanging="360"/>
      </w:pPr>
      <w:rPr>
        <w:rFonts w:ascii="Courier New" w:hAnsi="Courier New" w:cs="Courier New" w:hint="default"/>
      </w:rPr>
    </w:lvl>
    <w:lvl w:ilvl="5" w:tplc="042D0005" w:tentative="1">
      <w:start w:val="1"/>
      <w:numFmt w:val="bullet"/>
      <w:lvlText w:val=""/>
      <w:lvlJc w:val="left"/>
      <w:pPr>
        <w:ind w:left="4669" w:hanging="360"/>
      </w:pPr>
      <w:rPr>
        <w:rFonts w:ascii="Wingdings" w:hAnsi="Wingdings" w:hint="default"/>
      </w:rPr>
    </w:lvl>
    <w:lvl w:ilvl="6" w:tplc="042D0001" w:tentative="1">
      <w:start w:val="1"/>
      <w:numFmt w:val="bullet"/>
      <w:lvlText w:val=""/>
      <w:lvlJc w:val="left"/>
      <w:pPr>
        <w:ind w:left="5389" w:hanging="360"/>
      </w:pPr>
      <w:rPr>
        <w:rFonts w:ascii="Symbol" w:hAnsi="Symbol" w:hint="default"/>
      </w:rPr>
    </w:lvl>
    <w:lvl w:ilvl="7" w:tplc="042D0003" w:tentative="1">
      <w:start w:val="1"/>
      <w:numFmt w:val="bullet"/>
      <w:lvlText w:val="o"/>
      <w:lvlJc w:val="left"/>
      <w:pPr>
        <w:ind w:left="6109" w:hanging="360"/>
      </w:pPr>
      <w:rPr>
        <w:rFonts w:ascii="Courier New" w:hAnsi="Courier New" w:cs="Courier New" w:hint="default"/>
      </w:rPr>
    </w:lvl>
    <w:lvl w:ilvl="8" w:tplc="042D0005" w:tentative="1">
      <w:start w:val="1"/>
      <w:numFmt w:val="bullet"/>
      <w:lvlText w:val=""/>
      <w:lvlJc w:val="left"/>
      <w:pPr>
        <w:ind w:left="6829" w:hanging="360"/>
      </w:pPr>
      <w:rPr>
        <w:rFonts w:ascii="Wingdings" w:hAnsi="Wingdings" w:hint="default"/>
      </w:rPr>
    </w:lvl>
  </w:abstractNum>
  <w:abstractNum w:abstractNumId="8" w15:restartNumberingAfterBreak="0">
    <w:nsid w:val="71080766"/>
    <w:multiLevelType w:val="hybridMultilevel"/>
    <w:tmpl w:val="218660B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9" w15:restartNumberingAfterBreak="0">
    <w:nsid w:val="7F582288"/>
    <w:multiLevelType w:val="hybridMultilevel"/>
    <w:tmpl w:val="F270350E"/>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num w:numId="1" w16cid:durableId="1341619712">
    <w:abstractNumId w:val="3"/>
  </w:num>
  <w:num w:numId="2" w16cid:durableId="616765181">
    <w:abstractNumId w:val="4"/>
  </w:num>
  <w:num w:numId="3" w16cid:durableId="1532759816">
    <w:abstractNumId w:val="1"/>
  </w:num>
  <w:num w:numId="4" w16cid:durableId="676737116">
    <w:abstractNumId w:val="5"/>
  </w:num>
  <w:num w:numId="5" w16cid:durableId="577179432">
    <w:abstractNumId w:val="6"/>
  </w:num>
  <w:num w:numId="6" w16cid:durableId="1313363047">
    <w:abstractNumId w:val="2"/>
  </w:num>
  <w:num w:numId="7" w16cid:durableId="1852834657">
    <w:abstractNumId w:val="7"/>
  </w:num>
  <w:num w:numId="8" w16cid:durableId="2104759824">
    <w:abstractNumId w:val="0"/>
  </w:num>
  <w:num w:numId="9" w16cid:durableId="1724409336">
    <w:abstractNumId w:val="8"/>
  </w:num>
  <w:num w:numId="10" w16cid:durableId="17048685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89A"/>
    <w:rsid w:val="000018D9"/>
    <w:rsid w:val="00001BBD"/>
    <w:rsid w:val="0000586D"/>
    <w:rsid w:val="0001222E"/>
    <w:rsid w:val="00012935"/>
    <w:rsid w:val="00016672"/>
    <w:rsid w:val="000177BC"/>
    <w:rsid w:val="000336DB"/>
    <w:rsid w:val="0003598C"/>
    <w:rsid w:val="00040365"/>
    <w:rsid w:val="00041E9E"/>
    <w:rsid w:val="00050BDE"/>
    <w:rsid w:val="00057C5B"/>
    <w:rsid w:val="00060243"/>
    <w:rsid w:val="0007621E"/>
    <w:rsid w:val="00080AC1"/>
    <w:rsid w:val="00081ADF"/>
    <w:rsid w:val="000843A6"/>
    <w:rsid w:val="000C585B"/>
    <w:rsid w:val="000F02D9"/>
    <w:rsid w:val="000F135C"/>
    <w:rsid w:val="000F401C"/>
    <w:rsid w:val="00101682"/>
    <w:rsid w:val="001124CB"/>
    <w:rsid w:val="001125F8"/>
    <w:rsid w:val="0011381A"/>
    <w:rsid w:val="00134440"/>
    <w:rsid w:val="00136F5C"/>
    <w:rsid w:val="00141B6A"/>
    <w:rsid w:val="00145E24"/>
    <w:rsid w:val="00152C44"/>
    <w:rsid w:val="00154CE7"/>
    <w:rsid w:val="001635DE"/>
    <w:rsid w:val="001659AD"/>
    <w:rsid w:val="00166843"/>
    <w:rsid w:val="00184579"/>
    <w:rsid w:val="00184764"/>
    <w:rsid w:val="00185557"/>
    <w:rsid w:val="001857D1"/>
    <w:rsid w:val="00187352"/>
    <w:rsid w:val="00191FE5"/>
    <w:rsid w:val="00197393"/>
    <w:rsid w:val="001A7910"/>
    <w:rsid w:val="001B13F8"/>
    <w:rsid w:val="001B32D1"/>
    <w:rsid w:val="001B416E"/>
    <w:rsid w:val="001B637C"/>
    <w:rsid w:val="001D53B7"/>
    <w:rsid w:val="001E11B5"/>
    <w:rsid w:val="00200745"/>
    <w:rsid w:val="00201F4A"/>
    <w:rsid w:val="00207135"/>
    <w:rsid w:val="00211218"/>
    <w:rsid w:val="002120D2"/>
    <w:rsid w:val="00215B75"/>
    <w:rsid w:val="00225AC5"/>
    <w:rsid w:val="00231992"/>
    <w:rsid w:val="0023440D"/>
    <w:rsid w:val="002460C3"/>
    <w:rsid w:val="002463E2"/>
    <w:rsid w:val="00263EE4"/>
    <w:rsid w:val="002678DE"/>
    <w:rsid w:val="0027031A"/>
    <w:rsid w:val="00292AEB"/>
    <w:rsid w:val="002B0C0D"/>
    <w:rsid w:val="002C04EF"/>
    <w:rsid w:val="002D6887"/>
    <w:rsid w:val="002E1AE2"/>
    <w:rsid w:val="002F0D8C"/>
    <w:rsid w:val="002F6DBF"/>
    <w:rsid w:val="003022E2"/>
    <w:rsid w:val="003257BA"/>
    <w:rsid w:val="00335811"/>
    <w:rsid w:val="00335CA3"/>
    <w:rsid w:val="00343D89"/>
    <w:rsid w:val="00345BC3"/>
    <w:rsid w:val="00346462"/>
    <w:rsid w:val="00347918"/>
    <w:rsid w:val="00351857"/>
    <w:rsid w:val="00355263"/>
    <w:rsid w:val="003729F6"/>
    <w:rsid w:val="003777D5"/>
    <w:rsid w:val="003837CE"/>
    <w:rsid w:val="0039124D"/>
    <w:rsid w:val="00392C8F"/>
    <w:rsid w:val="0039626D"/>
    <w:rsid w:val="003A1E7C"/>
    <w:rsid w:val="003B0376"/>
    <w:rsid w:val="003B6433"/>
    <w:rsid w:val="003C2179"/>
    <w:rsid w:val="003F7640"/>
    <w:rsid w:val="00404BE0"/>
    <w:rsid w:val="00405BE0"/>
    <w:rsid w:val="00407333"/>
    <w:rsid w:val="004127CD"/>
    <w:rsid w:val="00430A38"/>
    <w:rsid w:val="00435186"/>
    <w:rsid w:val="00456DC7"/>
    <w:rsid w:val="004738A1"/>
    <w:rsid w:val="00482B5A"/>
    <w:rsid w:val="004920CA"/>
    <w:rsid w:val="004931C7"/>
    <w:rsid w:val="0049358C"/>
    <w:rsid w:val="004A2E48"/>
    <w:rsid w:val="004B1A37"/>
    <w:rsid w:val="004C358E"/>
    <w:rsid w:val="00516DE5"/>
    <w:rsid w:val="0051775F"/>
    <w:rsid w:val="00533DBF"/>
    <w:rsid w:val="00534819"/>
    <w:rsid w:val="00540347"/>
    <w:rsid w:val="0054731C"/>
    <w:rsid w:val="005500E9"/>
    <w:rsid w:val="00555807"/>
    <w:rsid w:val="005665CA"/>
    <w:rsid w:val="00566E97"/>
    <w:rsid w:val="0057324C"/>
    <w:rsid w:val="00582B77"/>
    <w:rsid w:val="00586D17"/>
    <w:rsid w:val="005B7066"/>
    <w:rsid w:val="005C1381"/>
    <w:rsid w:val="005C1AA4"/>
    <w:rsid w:val="005C3966"/>
    <w:rsid w:val="005C5CD8"/>
    <w:rsid w:val="005C6A2E"/>
    <w:rsid w:val="005F7BBF"/>
    <w:rsid w:val="006109AF"/>
    <w:rsid w:val="00622A96"/>
    <w:rsid w:val="00623F47"/>
    <w:rsid w:val="00667876"/>
    <w:rsid w:val="006724E5"/>
    <w:rsid w:val="00674F3C"/>
    <w:rsid w:val="00682C30"/>
    <w:rsid w:val="00687630"/>
    <w:rsid w:val="00693CD7"/>
    <w:rsid w:val="006A2256"/>
    <w:rsid w:val="006C0CF7"/>
    <w:rsid w:val="006C7369"/>
    <w:rsid w:val="006C7891"/>
    <w:rsid w:val="006E389A"/>
    <w:rsid w:val="006E4288"/>
    <w:rsid w:val="006E71B0"/>
    <w:rsid w:val="007021CC"/>
    <w:rsid w:val="007045EE"/>
    <w:rsid w:val="007052B6"/>
    <w:rsid w:val="00711F66"/>
    <w:rsid w:val="007121C1"/>
    <w:rsid w:val="0072379A"/>
    <w:rsid w:val="00724E2A"/>
    <w:rsid w:val="00734984"/>
    <w:rsid w:val="007602D4"/>
    <w:rsid w:val="00771E3F"/>
    <w:rsid w:val="00777D53"/>
    <w:rsid w:val="0078540E"/>
    <w:rsid w:val="007902BA"/>
    <w:rsid w:val="007A35F3"/>
    <w:rsid w:val="007B1991"/>
    <w:rsid w:val="007B5F14"/>
    <w:rsid w:val="007B7732"/>
    <w:rsid w:val="007D5659"/>
    <w:rsid w:val="007E5849"/>
    <w:rsid w:val="007F39D9"/>
    <w:rsid w:val="007F4788"/>
    <w:rsid w:val="007F666D"/>
    <w:rsid w:val="008009D7"/>
    <w:rsid w:val="00810A57"/>
    <w:rsid w:val="00820CF3"/>
    <w:rsid w:val="0084316C"/>
    <w:rsid w:val="00845429"/>
    <w:rsid w:val="00846BC9"/>
    <w:rsid w:val="008535CA"/>
    <w:rsid w:val="008579E0"/>
    <w:rsid w:val="00870A7D"/>
    <w:rsid w:val="00883B49"/>
    <w:rsid w:val="008853A5"/>
    <w:rsid w:val="008903EA"/>
    <w:rsid w:val="008A0BB8"/>
    <w:rsid w:val="008B755D"/>
    <w:rsid w:val="008C22E8"/>
    <w:rsid w:val="008D6A80"/>
    <w:rsid w:val="008E05AC"/>
    <w:rsid w:val="008E0E6B"/>
    <w:rsid w:val="008E3071"/>
    <w:rsid w:val="008E5B72"/>
    <w:rsid w:val="009031D2"/>
    <w:rsid w:val="009120D9"/>
    <w:rsid w:val="00912DAC"/>
    <w:rsid w:val="009141C2"/>
    <w:rsid w:val="00924D16"/>
    <w:rsid w:val="00941C67"/>
    <w:rsid w:val="009510D3"/>
    <w:rsid w:val="00955D5C"/>
    <w:rsid w:val="009578E0"/>
    <w:rsid w:val="00957B53"/>
    <w:rsid w:val="00966B5D"/>
    <w:rsid w:val="00973056"/>
    <w:rsid w:val="0098290A"/>
    <w:rsid w:val="00983BB9"/>
    <w:rsid w:val="00984AC2"/>
    <w:rsid w:val="00986971"/>
    <w:rsid w:val="00995880"/>
    <w:rsid w:val="009B531A"/>
    <w:rsid w:val="009C1961"/>
    <w:rsid w:val="009C5DAA"/>
    <w:rsid w:val="009D1593"/>
    <w:rsid w:val="009D39CD"/>
    <w:rsid w:val="009D66D8"/>
    <w:rsid w:val="009E6701"/>
    <w:rsid w:val="00A022EF"/>
    <w:rsid w:val="00A059E9"/>
    <w:rsid w:val="00A111FD"/>
    <w:rsid w:val="00A13C22"/>
    <w:rsid w:val="00A26549"/>
    <w:rsid w:val="00A318A3"/>
    <w:rsid w:val="00A46050"/>
    <w:rsid w:val="00A61FE3"/>
    <w:rsid w:val="00A634D5"/>
    <w:rsid w:val="00A6402C"/>
    <w:rsid w:val="00A74352"/>
    <w:rsid w:val="00A8652E"/>
    <w:rsid w:val="00AA57ED"/>
    <w:rsid w:val="00AB0E61"/>
    <w:rsid w:val="00AC0B7D"/>
    <w:rsid w:val="00AC21C5"/>
    <w:rsid w:val="00AC2452"/>
    <w:rsid w:val="00AE04CB"/>
    <w:rsid w:val="00AF04EE"/>
    <w:rsid w:val="00B06730"/>
    <w:rsid w:val="00B06A3E"/>
    <w:rsid w:val="00B15655"/>
    <w:rsid w:val="00B16CC0"/>
    <w:rsid w:val="00B25663"/>
    <w:rsid w:val="00B26382"/>
    <w:rsid w:val="00B26529"/>
    <w:rsid w:val="00B51BAA"/>
    <w:rsid w:val="00B550FE"/>
    <w:rsid w:val="00B6613A"/>
    <w:rsid w:val="00B81329"/>
    <w:rsid w:val="00B91F77"/>
    <w:rsid w:val="00BA2E60"/>
    <w:rsid w:val="00BB455C"/>
    <w:rsid w:val="00BC4774"/>
    <w:rsid w:val="00BC6F91"/>
    <w:rsid w:val="00BD0A73"/>
    <w:rsid w:val="00BD156F"/>
    <w:rsid w:val="00BD4865"/>
    <w:rsid w:val="00BE680D"/>
    <w:rsid w:val="00BF0E93"/>
    <w:rsid w:val="00BF571C"/>
    <w:rsid w:val="00C14217"/>
    <w:rsid w:val="00C14642"/>
    <w:rsid w:val="00C21F19"/>
    <w:rsid w:val="00C2216D"/>
    <w:rsid w:val="00C2774F"/>
    <w:rsid w:val="00C3180E"/>
    <w:rsid w:val="00C41FA1"/>
    <w:rsid w:val="00C446DE"/>
    <w:rsid w:val="00C543CE"/>
    <w:rsid w:val="00C809ED"/>
    <w:rsid w:val="00C83AB9"/>
    <w:rsid w:val="00CB22A9"/>
    <w:rsid w:val="00CB7479"/>
    <w:rsid w:val="00CC2563"/>
    <w:rsid w:val="00CC39B4"/>
    <w:rsid w:val="00CD37AA"/>
    <w:rsid w:val="00CD7316"/>
    <w:rsid w:val="00CD7FA2"/>
    <w:rsid w:val="00CF0382"/>
    <w:rsid w:val="00CF45DC"/>
    <w:rsid w:val="00D00122"/>
    <w:rsid w:val="00D057AB"/>
    <w:rsid w:val="00D110F0"/>
    <w:rsid w:val="00D1342A"/>
    <w:rsid w:val="00D15C15"/>
    <w:rsid w:val="00D45040"/>
    <w:rsid w:val="00D53466"/>
    <w:rsid w:val="00D57FDA"/>
    <w:rsid w:val="00D6135A"/>
    <w:rsid w:val="00D67512"/>
    <w:rsid w:val="00D71496"/>
    <w:rsid w:val="00D77246"/>
    <w:rsid w:val="00D84D9A"/>
    <w:rsid w:val="00D92D8F"/>
    <w:rsid w:val="00D971B7"/>
    <w:rsid w:val="00DA2D28"/>
    <w:rsid w:val="00DA4901"/>
    <w:rsid w:val="00DA6627"/>
    <w:rsid w:val="00DC2418"/>
    <w:rsid w:val="00DD27F9"/>
    <w:rsid w:val="00DE6237"/>
    <w:rsid w:val="00DF6EC9"/>
    <w:rsid w:val="00E304BE"/>
    <w:rsid w:val="00E4354A"/>
    <w:rsid w:val="00E45792"/>
    <w:rsid w:val="00E52F9B"/>
    <w:rsid w:val="00E612B5"/>
    <w:rsid w:val="00E83DCB"/>
    <w:rsid w:val="00E92D4A"/>
    <w:rsid w:val="00E92F41"/>
    <w:rsid w:val="00EA1B71"/>
    <w:rsid w:val="00ED3C91"/>
    <w:rsid w:val="00EE0E07"/>
    <w:rsid w:val="00EE1425"/>
    <w:rsid w:val="00F04563"/>
    <w:rsid w:val="00F06940"/>
    <w:rsid w:val="00F124D5"/>
    <w:rsid w:val="00F160C4"/>
    <w:rsid w:val="00F273A9"/>
    <w:rsid w:val="00F33999"/>
    <w:rsid w:val="00F367D4"/>
    <w:rsid w:val="00F4400C"/>
    <w:rsid w:val="00F57583"/>
    <w:rsid w:val="00F7676C"/>
    <w:rsid w:val="00F776D0"/>
    <w:rsid w:val="00F8354D"/>
    <w:rsid w:val="00F90321"/>
    <w:rsid w:val="00F9177E"/>
    <w:rsid w:val="00FB59F0"/>
    <w:rsid w:val="00FD5927"/>
    <w:rsid w:val="00FE44F3"/>
    <w:rsid w:val="00FF03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F9C11"/>
  <w15:chartTrackingRefBased/>
  <w15:docId w15:val="{6A8FD8A2-32C6-451D-9008-7F3725E0A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4D5"/>
    <w:pPr>
      <w:spacing w:after="0" w:line="240" w:lineRule="auto"/>
    </w:pPr>
    <w:rPr>
      <w:rFonts w:ascii="Times New Roman" w:eastAsia="Times New Roman" w:hAnsi="Times New Roman" w:cs="Times New Roman"/>
      <w:sz w:val="24"/>
      <w:szCs w:val="20"/>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34D5"/>
    <w:pPr>
      <w:tabs>
        <w:tab w:val="center" w:pos="4252"/>
        <w:tab w:val="right" w:pos="8504"/>
      </w:tabs>
    </w:pPr>
  </w:style>
  <w:style w:type="character" w:customStyle="1" w:styleId="EncabezadoCar">
    <w:name w:val="Encabezado Car"/>
    <w:basedOn w:val="Fuentedeprrafopredeter"/>
    <w:link w:val="Encabezado"/>
    <w:uiPriority w:val="99"/>
    <w:rsid w:val="00A634D5"/>
    <w:rPr>
      <w:rFonts w:ascii="Times New Roman" w:eastAsia="Times New Roman" w:hAnsi="Times New Roman" w:cs="Times New Roman"/>
      <w:sz w:val="24"/>
      <w:szCs w:val="20"/>
      <w:lang w:val="eu-ES" w:eastAsia="es-ES_tradnl"/>
    </w:rPr>
  </w:style>
  <w:style w:type="paragraph" w:styleId="Piedepgina">
    <w:name w:val="footer"/>
    <w:basedOn w:val="Normal"/>
    <w:link w:val="PiedepginaCar"/>
    <w:uiPriority w:val="99"/>
    <w:unhideWhenUsed/>
    <w:rsid w:val="00A634D5"/>
    <w:pPr>
      <w:tabs>
        <w:tab w:val="center" w:pos="4252"/>
        <w:tab w:val="right" w:pos="8504"/>
      </w:tabs>
    </w:pPr>
  </w:style>
  <w:style w:type="character" w:customStyle="1" w:styleId="PiedepginaCar">
    <w:name w:val="Pie de página Car"/>
    <w:basedOn w:val="Fuentedeprrafopredeter"/>
    <w:link w:val="Piedepgina"/>
    <w:uiPriority w:val="99"/>
    <w:rsid w:val="00A634D5"/>
    <w:rPr>
      <w:rFonts w:ascii="Times New Roman" w:eastAsia="Times New Roman" w:hAnsi="Times New Roman" w:cs="Times New Roman"/>
      <w:sz w:val="24"/>
      <w:szCs w:val="20"/>
      <w:lang w:val="eu-ES" w:eastAsia="es-ES_tradnl"/>
    </w:rPr>
  </w:style>
  <w:style w:type="paragraph" w:styleId="Prrafodelista">
    <w:name w:val="List Paragraph"/>
    <w:basedOn w:val="Normal"/>
    <w:uiPriority w:val="34"/>
    <w:qFormat/>
    <w:rsid w:val="00A634D5"/>
    <w:pPr>
      <w:ind w:left="720"/>
      <w:contextualSpacing/>
    </w:pPr>
  </w:style>
  <w:style w:type="paragraph" w:customStyle="1" w:styleId="Default">
    <w:name w:val="Default"/>
    <w:rsid w:val="00CF45DC"/>
    <w:pPr>
      <w:autoSpaceDE w:val="0"/>
      <w:autoSpaceDN w:val="0"/>
      <w:adjustRightInd w:val="0"/>
      <w:spacing w:after="0" w:line="240" w:lineRule="auto"/>
    </w:pPr>
    <w:rPr>
      <w:rFonts w:ascii="Aptos" w:hAnsi="Aptos" w:cs="Aptos"/>
      <w:color w:val="000000"/>
      <w:sz w:val="24"/>
      <w:szCs w:val="24"/>
    </w:rPr>
  </w:style>
  <w:style w:type="table" w:styleId="Tablaconcuadrcula">
    <w:name w:val="Table Grid"/>
    <w:basedOn w:val="Tablanormal"/>
    <w:rsid w:val="00F06940"/>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F06940"/>
    <w:rPr>
      <w:color w:val="0000FF"/>
      <w:u w:val="single"/>
    </w:rPr>
  </w:style>
  <w:style w:type="paragraph" w:customStyle="1" w:styleId="BOPVTitulo">
    <w:name w:val="BOPVTitulo"/>
    <w:basedOn w:val="Normal"/>
    <w:rsid w:val="00185557"/>
    <w:pPr>
      <w:widowControl w:val="0"/>
      <w:spacing w:after="220"/>
      <w:ind w:left="425" w:hanging="425"/>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5b5638-17a8-4122-884b-593b22ed900d">
      <Terms xmlns="http://schemas.microsoft.com/office/infopath/2007/PartnerControls"/>
    </lcf76f155ced4ddcb4097134ff3c332f>
    <TaxCatchAll xmlns="2181b18d-d5bb-4661-9cbe-9a09a103df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DEA83058990434E92C91238E989174F" ma:contentTypeVersion="16" ma:contentTypeDescription="Create a new document." ma:contentTypeScope="" ma:versionID="ad7c79c67e9efc3f28a4ff3248ee9839">
  <xsd:schema xmlns:xsd="http://www.w3.org/2001/XMLSchema" xmlns:xs="http://www.w3.org/2001/XMLSchema" xmlns:p="http://schemas.microsoft.com/office/2006/metadata/properties" xmlns:ns2="615b5638-17a8-4122-884b-593b22ed900d" xmlns:ns3="2181b18d-d5bb-4661-9cbe-9a09a103df1c" targetNamespace="http://schemas.microsoft.com/office/2006/metadata/properties" ma:root="true" ma:fieldsID="189aac800b8b0909c5d3ba76420f03ca" ns2:_="" ns3:_="">
    <xsd:import namespace="615b5638-17a8-4122-884b-593b22ed900d"/>
    <xsd:import namespace="2181b18d-d5bb-4661-9cbe-9a09a103df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b5638-17a8-4122-884b-593b22ed9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81b18d-d5bb-4661-9cbe-9a09a103df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746f5ae-e43c-4894-bf9e-4c12077eb3cb}" ma:internalName="TaxCatchAll" ma:showField="CatchAllData" ma:web="2181b18d-d5bb-4661-9cbe-9a09a103d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81266-7582-4595-B47F-A2F4A2F5D666}">
  <ds:schemaRefs>
    <ds:schemaRef ds:uri="http://schemas.microsoft.com/office/2006/metadata/properties"/>
    <ds:schemaRef ds:uri="http://schemas.microsoft.com/office/infopath/2007/PartnerControls"/>
    <ds:schemaRef ds:uri="615b5638-17a8-4122-884b-593b22ed900d"/>
    <ds:schemaRef ds:uri="2181b18d-d5bb-4661-9cbe-9a09a103df1c"/>
  </ds:schemaRefs>
</ds:datastoreItem>
</file>

<file path=customXml/itemProps2.xml><?xml version="1.0" encoding="utf-8"?>
<ds:datastoreItem xmlns:ds="http://schemas.openxmlformats.org/officeDocument/2006/customXml" ds:itemID="{8E5DDAC9-08B9-4D0B-AFDA-7A23042766F1}">
  <ds:schemaRefs>
    <ds:schemaRef ds:uri="http://schemas.microsoft.com/sharepoint/v3/contenttype/forms"/>
  </ds:schemaRefs>
</ds:datastoreItem>
</file>

<file path=customXml/itemProps3.xml><?xml version="1.0" encoding="utf-8"?>
<ds:datastoreItem xmlns:ds="http://schemas.openxmlformats.org/officeDocument/2006/customXml" ds:itemID="{FCEFAA28-0F32-412D-97FE-63550BE09894}">
  <ds:schemaRefs>
    <ds:schemaRef ds:uri="http://schemas.openxmlformats.org/officeDocument/2006/bibliography"/>
  </ds:schemaRefs>
</ds:datastoreItem>
</file>

<file path=customXml/itemProps4.xml><?xml version="1.0" encoding="utf-8"?>
<ds:datastoreItem xmlns:ds="http://schemas.openxmlformats.org/officeDocument/2006/customXml" ds:itemID="{1DB49207-2710-425A-9A2A-C8F57D82A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b5638-17a8-4122-884b-593b22ed900d"/>
    <ds:schemaRef ds:uri="2181b18d-d5bb-4661-9cbe-9a09a103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2121</Words>
  <Characters>11669</Characters>
  <Application>Microsoft Office Word</Application>
  <DocSecurity>0</DocSecurity>
  <Lines>97</Lines>
  <Paragraphs>27</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Eusko Jaurlaritza Gobierno Vasco</Company>
  <LinksUpToDate>false</LinksUpToDate>
  <CharactersWithSpaces>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Alcayaga Tolosa, Maider</dc:creator>
  <cp:keywords/>
  <dc:description/>
  <cp:lastModifiedBy>Saez De Olazagoitia Echeazarra, Zuriñe</cp:lastModifiedBy>
  <cp:revision>3</cp:revision>
  <cp:lastPrinted>2025-08-25T10:11:00Z</cp:lastPrinted>
  <dcterms:created xsi:type="dcterms:W3CDTF">2025-09-15T11:31:00Z</dcterms:created>
  <dcterms:modified xsi:type="dcterms:W3CDTF">2025-09-18T13:05:00Z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0x0101004DEA83058990434E92C91238E989174F</vt:lpwstr>
  </property>
  <property fmtid="{D5CDD505-2E9C-101B-9397-08002B2CF9AE}" pid="3" name="MediaServiceImageTags">
    <vt:lpwstr/>
  </property>
</Properties>
</file>