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D" w:rsidRDefault="005338B5" w:rsidP="0067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4F7300">
              <w:rPr>
                <w:b/>
                <w:sz w:val="18"/>
                <w:szCs w:val="18"/>
              </w:rPr>
              <w:t>HAZITEK 2019</w:t>
            </w:r>
            <w:r>
              <w:rPr>
                <w:b/>
                <w:sz w:val="18"/>
                <w:szCs w:val="18"/>
              </w:rPr>
              <w:t xml:space="preserve"> DIRU-LAGUNTZAREN JUSTIFIKAZIO-KONTUA </w:t>
            </w:r>
          </w:p>
          <w:p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  <w:r w:rsidR="005338B5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ROAC erregistroko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auditoreak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Espediente-zk.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diru-laguntza justifikatzeko kontua berrikusteko. GUTXIENEZ eman beharreko edukia jasotzen du.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Justifikazio-kontuak aztertzerakoan, maiatzaren 17ko EHA/1434/2007 Aginduari lotuko zaio auditorea, eta, zehazki, Agindu horren 3. artikuluan adierazitako prozedurak aplikatuko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Egiaztapen-zerrenda hau erantsi behar da Auditoretza-txostena egin duen auditoreak sinatuta eta eremu eta elementu guztiak beteta.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:rsidR="00B654C7" w:rsidRPr="007516C5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diru-laguntza, deialdia eta laguntza emateko ebazpena erregulatzen dituen Araudia. </w:t>
      </w: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1D00B1" w:rsidRDefault="00B654C7" w:rsidP="00B654C7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Eskualde Garapeneko Europako Funtsak (FEDER) kofinantzatutako laguntzen onuradunek dauzkaten obligazioak espezifikoki arautzen dituzten Europako Erregelamenduak.</w:t>
      </w:r>
    </w:p>
    <w:p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Justifikazio-kontuari buruzko prozedura espezifikoak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Auditoreak Justifikazio-kontuan sartutako dokumentuen zerrenda aztertu du, eta elementu hauen edukiarekiko adostasuna adierazten du, hala denean: </w:t>
      </w:r>
    </w:p>
    <w:tbl>
      <w:tblPr>
        <w:tblW w:w="501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47"/>
        <w:gridCol w:w="324"/>
        <w:gridCol w:w="1813"/>
      </w:tblGrid>
      <w:tr w:rsidR="001309BA" w:rsidRPr="004A79D4" w:rsidTr="00B154B2">
        <w:trPr>
          <w:trHeight w:val="77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Auditatutako proiektua mota honetako Ikerketa eta Garapeneko proiektua da: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6F43BC" w:rsidRPr="00001CDA" w:rsidTr="00B154B2">
        <w:trPr>
          <w:trHeight w:val="174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F7300" w:rsidRPr="00C0596D" w:rsidRDefault="004F7300" w:rsidP="004F73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ORDAINKETA-ESKAERAREKIN batera ondoko agiri hauek gehitu dira, ELEKTRONIKOKI IZENPETUTA:</w:t>
            </w:r>
          </w:p>
          <w:p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>Ziurtagiri ekonomikoa</w:t>
            </w:r>
          </w:p>
          <w:p w:rsidR="00A865C7" w:rsidRPr="00C0596D" w:rsidRDefault="007B452D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Erantzukizunpeko deklarazioa    </w:t>
            </w:r>
          </w:p>
          <w:p w:rsidR="006F43BC" w:rsidRPr="00C0596D" w:rsidRDefault="007B452D" w:rsidP="00A865C7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sz w:val="14"/>
                <w:szCs w:val="14"/>
              </w:rPr>
            </w:r>
            <w:r w:rsidR="00C0596D" w:rsidRPr="00C0596D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BAI</w:t>
            </w:r>
          </w:p>
          <w:p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sz w:val="14"/>
                <w:szCs w:val="14"/>
              </w:rPr>
            </w:r>
            <w:r w:rsidR="00C0596D" w:rsidRPr="00C0596D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EZ</w:t>
            </w:r>
          </w:p>
          <w:p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sz w:val="14"/>
                <w:szCs w:val="14"/>
              </w:rPr>
            </w:r>
            <w:r w:rsidR="00C0596D" w:rsidRPr="00C0596D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(1)</w:t>
            </w:r>
          </w:p>
        </w:tc>
      </w:tr>
      <w:tr w:rsidR="00001CDA" w:rsidRPr="00001CDA" w:rsidTr="00B154B2">
        <w:trPr>
          <w:trHeight w:val="1299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Gastu-deklarazioa zuzena da, kontabilitate-sistema fidagarrietatik ateratakoa eta egiazta daitezkeen frogagirietan oinarritua.</w:t>
            </w:r>
          </w:p>
          <w:p w:rsidR="00001CDA" w:rsidRPr="00A865C7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entitate onuradunak ez duela bestelako laguntzarik jaso proiektu bererako, edo, jaso badu, dokumentu honetan deklaratu dituela. </w:t>
            </w:r>
          </w:p>
          <w:p w:rsidR="00A865C7" w:rsidRPr="00001CDA" w:rsidRDefault="00A865C7" w:rsidP="00A865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01CDA" w:rsidRPr="00001CDA" w:rsidRDefault="00001CDA" w:rsidP="00BD6CE5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D6CE5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6F43BC" w:rsidRPr="00001CDA" w:rsidTr="00B154B2">
        <w:trPr>
          <w:trHeight w:val="1360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6F43BC" w:rsidRDefault="004F7300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(mankomunatua izanez gero, gutxienez bi pertsonaren </w:t>
            </w:r>
            <w:r w:rsidRPr="00C0596D">
              <w:rPr>
                <w:sz w:val="16"/>
                <w:szCs w:val="16"/>
              </w:rPr>
              <w:t>sinadura elektronikoa behar da)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3BC" w:rsidRPr="00613626" w:rsidRDefault="006F43BC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613626" w:rsidRPr="00001CDA" w:rsidTr="00B154B2">
        <w:trPr>
          <w:trHeight w:val="56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613626" w:rsidRDefault="00613626" w:rsidP="0061362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  <w:p w:rsidR="00A865C7" w:rsidRPr="00001CDA" w:rsidRDefault="00A865C7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(3)</w:t>
            </w:r>
          </w:p>
        </w:tc>
      </w:tr>
      <w:tr w:rsidR="00806732" w:rsidRPr="00806732" w:rsidTr="00B154B2">
        <w:trPr>
          <w:trHeight w:val="11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Laburpen exekutiboa: Deskargu tekniko-ekonomikoa</w:t>
            </w:r>
            <w:r>
              <w:rPr>
                <w:sz w:val="16"/>
                <w:szCs w:val="16"/>
              </w:rPr>
              <w:t>. Egiaztatu da:</w:t>
            </w: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:rsidR="00A865C7" w:rsidRDefault="00806732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(4)</w:t>
            </w:r>
          </w:p>
          <w:p w:rsidR="004F7300" w:rsidRPr="00A865C7" w:rsidRDefault="004F7300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Deskargu teknikoan jasotzen da zer lan egin diren eta zein diren proiektuaren mugarriak,</w:t>
            </w:r>
            <w:r w:rsidRPr="00C0596D">
              <w:rPr>
                <w:color w:val="000000" w:themeColor="text1"/>
                <w:sz w:val="16"/>
                <w:szCs w:val="16"/>
              </w:rPr>
              <w:t xml:space="preserve"> eta deskargu publikoan adierazten diren lanen datak, lehen urterokoari dagozkionak, laguntzaren eskaera formalaren ostekoak direla.</w:t>
            </w:r>
          </w:p>
          <w:p w:rsidR="00843BA4" w:rsidRPr="00843BA4" w:rsidRDefault="00843BA4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806732" w:rsidRDefault="00806732" w:rsidP="0080673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(5)</w:t>
            </w:r>
          </w:p>
          <w:p w:rsidR="00A865C7" w:rsidRPr="00806732" w:rsidRDefault="00A865C7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Konkordantzia dagoela deskargu teknikoan jasotako informazioaren eta justifikazio ekonomikoa aztertzeko oinarri gisa erabili diren dokumentuen artean.</w:t>
            </w:r>
          </w:p>
          <w:p w:rsidR="00806732" w:rsidRDefault="00806732" w:rsidP="006C6ECC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(6)</w:t>
            </w:r>
          </w:p>
          <w:p w:rsidR="00A865C7" w:rsidRPr="00806732" w:rsidRDefault="00A865C7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806732" w:rsidRPr="00806732" w:rsidTr="00B154B2">
        <w:trPr>
          <w:trHeight w:val="91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Laguntzaren GEHIGARRITASUNA edo PIZGARRI-EFEKTUA:</w:t>
            </w:r>
          </w:p>
          <w:p w:rsidR="00613626" w:rsidRPr="00B154B2" w:rsidRDefault="00613626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onartutako proiektua </w:t>
            </w:r>
            <w:r w:rsidR="00C64A2A">
              <w:rPr>
                <w:b/>
                <w:sz w:val="16"/>
                <w:szCs w:val="16"/>
              </w:rPr>
              <w:t>Hazitek 2019</w:t>
            </w:r>
            <w:r>
              <w:rPr>
                <w:b/>
                <w:sz w:val="16"/>
                <w:szCs w:val="16"/>
              </w:rPr>
              <w:t>ren I. fasearen</w:t>
            </w:r>
            <w:r>
              <w:rPr>
                <w:sz w:val="16"/>
                <w:szCs w:val="16"/>
              </w:rPr>
              <w:t xml:space="preserve"> eskaera egin eta gero hasi dela, eta, </w:t>
            </w:r>
            <w:r>
              <w:rPr>
                <w:b/>
                <w:sz w:val="16"/>
                <w:szCs w:val="16"/>
              </w:rPr>
              <w:t>beraz</w:t>
            </w:r>
            <w:r>
              <w:rPr>
                <w:sz w:val="16"/>
                <w:szCs w:val="16"/>
              </w:rPr>
              <w:t>, proiektua</w:t>
            </w:r>
            <w:r w:rsidR="00C12365">
              <w:rPr>
                <w:sz w:val="16"/>
                <w:szCs w:val="16"/>
              </w:rPr>
              <w:t>ri EZ zaiola egotzi Hazitek 201</w:t>
            </w:r>
            <w:r w:rsidR="00C64A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ren I. fasearen eskaera aurkeztu aurreko gasturik edo ikertzaileen lanordurik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:rsidR="00B154B2" w:rsidRPr="00FD5DF7" w:rsidRDefault="00B154B2" w:rsidP="00B154B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926466" w:rsidRPr="00926466" w:rsidRDefault="00926466" w:rsidP="00926466">
            <w:pPr>
              <w:pStyle w:val="Zerrenda-paragrafo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Fase batean baino gehiagotan egiten diren proiektuak direnean, Hazitek edo Gaitek programaren lehenagoko deialdien sostengua badute, lanak ez dira hasi behar </w:t>
            </w:r>
            <w:r>
              <w:rPr>
                <w:rFonts w:ascii="Calibri" w:hAnsi="Calibri"/>
                <w:b/>
                <w:sz w:val="18"/>
                <w:szCs w:val="18"/>
              </w:rPr>
              <w:t>lehenengo laguntza-eskaera</w:t>
            </w:r>
            <w:r>
              <w:rPr>
                <w:rFonts w:ascii="Calibri" w:hAnsi="Calibri"/>
                <w:sz w:val="18"/>
                <w:szCs w:val="18"/>
              </w:rPr>
              <w:t xml:space="preserve"> egin aurretik, betiere lehenengo eskaeran adierazi bada proiektua segidako fasetan egingo dela. (Ikerketa, garapen eta berrikuntzarako laguntza estatalei buruzko Esparru Komunitarioaren 63. artikulua, 2014/C 198/01)</w:t>
            </w:r>
          </w:p>
          <w:p w:rsidR="00E2336A" w:rsidRPr="00520EA3" w:rsidRDefault="00E2336A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(7)</w:t>
            </w:r>
          </w:p>
          <w:p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:rsidTr="00B154B2">
        <w:trPr>
          <w:trHeight w:val="77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AURKEZTUTAKO AURREKONTUARI BURUZKO INTZIDENTZIA EKONOMIKOAK ETA/EDO TEKNIKOAK</w:t>
            </w:r>
          </w:p>
          <w:p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Proiektuan diharduten ikertzaileak aldatzea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Ikertzaileek egindako lanak aldatzea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Ikertzaileen lanorduak murriztea edo gehitzea 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:rsidR="00E42C05" w:rsidRPr="004F7300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F730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4F7300">
              <w:rPr>
                <w:rFonts w:cs="Arial"/>
                <w:sz w:val="14"/>
                <w:szCs w:val="14"/>
              </w:rPr>
              <w:fldChar w:fldCharType="end"/>
            </w:r>
            <w:r w:rsidRPr="004F7300">
              <w:rPr>
                <w:sz w:val="14"/>
                <w:szCs w:val="14"/>
              </w:rPr>
              <w:t xml:space="preserve"> </w:t>
            </w:r>
            <w:r w:rsidRPr="004F7300">
              <w:rPr>
                <w:sz w:val="16"/>
                <w:szCs w:val="16"/>
              </w:rPr>
              <w:t>Erositako materialak edo material-hornitzaileak ordeztea</w:t>
            </w:r>
          </w:p>
          <w:p w:rsidR="00E42C05" w:rsidRPr="00C0596D" w:rsidRDefault="00E42C05" w:rsidP="001B042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C0596D" w:rsidRPr="00C0596D">
              <w:rPr>
                <w:sz w:val="16"/>
                <w:szCs w:val="16"/>
              </w:rPr>
            </w:r>
            <w:r w:rsidR="00C0596D" w:rsidRPr="00C0596D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Gastu-partidaren batean aurreikusitako gastuak murriztea </w:t>
            </w:r>
          </w:p>
          <w:p w:rsidR="004F7300" w:rsidRPr="004F7300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C0596D" w:rsidRPr="00C0596D">
              <w:rPr>
                <w:sz w:val="16"/>
                <w:szCs w:val="16"/>
              </w:rPr>
            </w:r>
            <w:r w:rsidR="00C0596D" w:rsidRPr="00C0596D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Ez dago ez aldaketarik, ez gorabeherarik.</w:t>
            </w:r>
          </w:p>
          <w:p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(8)</w:t>
            </w:r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Estrategiako zuzendariari</w:t>
            </w:r>
          </w:p>
          <w:p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(9)</w:t>
            </w:r>
          </w:p>
          <w:p w:rsidR="00A865C7" w:rsidRPr="00520EA3" w:rsidRDefault="00A865C7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:rsidR="00A865C7" w:rsidRPr="007A224A" w:rsidRDefault="00E42C05" w:rsidP="00B9043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(10)</w:t>
            </w:r>
          </w:p>
        </w:tc>
      </w:tr>
      <w:tr w:rsidR="00B41B95" w:rsidRPr="004A79D4" w:rsidTr="00B154B2">
        <w:trPr>
          <w:trHeight w:val="883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B452D" w:rsidRPr="00C32B95" w:rsidRDefault="007B452D" w:rsidP="007B452D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lastRenderedPageBreak/>
              <w:t>AUDITORETZA-TXOSTENA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154B2" w:rsidRDefault="004A2C07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A865C7" w:rsidRPr="00B154B2" w:rsidRDefault="00A865C7" w:rsidP="00A865C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B41B95" w:rsidRPr="004A79D4" w:rsidTr="00B154B2">
        <w:trPr>
          <w:trHeight w:val="72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41B95" w:rsidRDefault="004A2C07" w:rsidP="004A2C0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7B452D" w:rsidRPr="007B452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4A2C07" w:rsidRDefault="004A2C07" w:rsidP="00B154B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0596D">
              <w:rPr>
                <w:rFonts w:cs="Arial"/>
                <w:b/>
                <w:sz w:val="16"/>
                <w:szCs w:val="16"/>
              </w:rPr>
            </w:r>
            <w:r w:rsidR="00C059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0596D">
              <w:rPr>
                <w:rFonts w:cs="Arial"/>
                <w:b/>
                <w:sz w:val="16"/>
                <w:szCs w:val="16"/>
              </w:rPr>
            </w:r>
            <w:r w:rsidR="00C059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0596D">
              <w:rPr>
                <w:rFonts w:cs="Arial"/>
                <w:b/>
                <w:sz w:val="16"/>
                <w:szCs w:val="16"/>
              </w:rPr>
            </w:r>
            <w:r w:rsidR="00C059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7B452D"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A865C7" w:rsidRPr="007B452D" w:rsidRDefault="00A865C7" w:rsidP="00B154B2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4A79D4" w:rsidTr="00B154B2">
        <w:trPr>
          <w:trHeight w:val="178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1699A" w:rsidRDefault="006D7AFA" w:rsidP="008169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4A2C07" w:rsidRDefault="004A2C07" w:rsidP="004A2C0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4A2C0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7B452D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Diru-laguntzei buruzko azaroaren 17ko 38/2003 Lege Orokorraren 31. artikulua betez, diruz lagun daitekeen gastuaren zenbatekoa 15.000 eurotik gorakoa denean,</w:t>
            </w:r>
          </w:p>
          <w:p w:rsidR="004F7300" w:rsidRDefault="004F7300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edo hornitzaile desberdinen 3 eskaintzak sartu, eta, merkeena aukeratu ez den kasuan, aukeraketa justifikatzeko memoria aurkeztu bada,</w:t>
            </w:r>
          </w:p>
          <w:p w:rsidR="004F7300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edo gastuaren salbuespenari buruzko memoria aurkeztu bada. </w:t>
            </w:r>
          </w:p>
          <w:p w:rsidR="00FB4123" w:rsidRDefault="004A2C07" w:rsidP="00FB4123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FB4123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Default="00A865C7" w:rsidP="00A865C7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7F7F10" w:rsidRPr="00711378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4A2C07" w:rsidRDefault="004A2C07" w:rsidP="007F7F10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7F7F10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7F7F10" w:rsidRDefault="00A865C7" w:rsidP="007F7F10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81699A" w:rsidRDefault="00A865C7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Zerrendan jasotako gastuak diruz lagun daitezkeen gastutzat hartzen dira</w:t>
            </w:r>
            <w:r w:rsidRPr="00C0596D">
              <w:t>,</w:t>
            </w:r>
            <w:r w:rsidRPr="00C0596D">
              <w:rPr>
                <w:rFonts w:ascii="Calibri" w:hAnsi="Calibri"/>
                <w:sz w:val="18"/>
                <w:szCs w:val="18"/>
              </w:rPr>
              <w:t xml:space="preserve"> 2017ko urtarrilaren 31ko Aginduaren 7. artikuluaren arabera</w:t>
            </w:r>
            <w:r w:rsidRPr="00C0596D">
              <w:t xml:space="preserve"> </w:t>
            </w:r>
            <w:r w:rsidRPr="00C0596D">
              <w:rPr>
                <w:sz w:val="16"/>
                <w:szCs w:val="16"/>
              </w:rPr>
              <w:t>(Ekonomiaren Garapeneko eta Azpiegituretako sailburuaren 2018ko abenduaren 17ko Aginduaren bidez aldatu zen agindu hori).</w:t>
            </w:r>
          </w:p>
          <w:p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BAI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EZ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 w:rsidRPr="00C0596D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865C7" w:rsidRPr="0081699A" w:rsidRDefault="00A865C7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aurreikusitakoez besteko gasturik.</w:t>
            </w:r>
          </w:p>
          <w:p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3C0853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1699A" w:rsidRPr="004A79D4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1B0427" w:rsidRPr="004A79D4" w:rsidTr="00B154B2">
        <w:trPr>
          <w:trHeight w:val="12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Langile-gastua: justifikazio-agiriak aztertuta, egiaztatu da:</w:t>
            </w:r>
          </w:p>
          <w:p w:rsidR="001B0427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Ikertzaileak entitate onuradunaren plantillakoak direla eta ikerketa EAEn egin dela.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b/>
                <w:sz w:val="14"/>
                <w:szCs w:val="14"/>
              </w:rPr>
              <w:t>20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7A224A" w:rsidRDefault="00A865C7" w:rsidP="001B0427">
            <w:pPr>
              <w:spacing w:before="0" w:after="0" w:line="360" w:lineRule="auto"/>
              <w:ind w:left="720"/>
              <w:rPr>
                <w:rStyle w:val="Hiperesteka"/>
                <w:rFonts w:cs="Arial"/>
                <w:color w:val="auto"/>
                <w:sz w:val="14"/>
                <w:szCs w:val="14"/>
                <w:u w:val="none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Orduko kostua egoztean ez dela sartu zeharkako kosturik.</w:t>
            </w:r>
          </w:p>
          <w:p w:rsidR="001B0427" w:rsidRDefault="001B0427" w:rsidP="00DE2D59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21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DE2D59" w:rsidRDefault="00A865C7" w:rsidP="00DE2D59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D84AA3" w:rsidRPr="00990500" w:rsidRDefault="00D84AA3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sz w:val="16"/>
                <w:szCs w:val="16"/>
              </w:rPr>
            </w:pPr>
            <w:r w:rsidRPr="00990500">
              <w:rPr>
                <w:sz w:val="16"/>
                <w:szCs w:val="16"/>
              </w:rPr>
              <w:t xml:space="preserve">Zuzeneko gastua </w:t>
            </w:r>
            <w:r w:rsidR="00EE5EFF" w:rsidRPr="00990500">
              <w:rPr>
                <w:sz w:val="16"/>
                <w:szCs w:val="16"/>
              </w:rPr>
              <w:t xml:space="preserve">kalkulatzeko </w:t>
            </w:r>
            <w:r w:rsidRPr="00990500">
              <w:rPr>
                <w:sz w:val="16"/>
                <w:szCs w:val="16"/>
              </w:rPr>
              <w:t>10Tko ordainsariak guztira eta enpresak ordaindutako Gizarte Segurantza</w:t>
            </w:r>
            <w:r w:rsidR="00EE5EFF" w:rsidRPr="00990500">
              <w:rPr>
                <w:sz w:val="16"/>
                <w:szCs w:val="16"/>
              </w:rPr>
              <w:t xml:space="preserve"> baino ez direla sartu, argibideetan ezarritakoaren arabera.</w:t>
            </w:r>
          </w:p>
          <w:p w:rsidR="001B0427" w:rsidRDefault="001B0427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990500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99050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990500">
              <w:rPr>
                <w:rStyle w:val="Hiperesteka"/>
                <w:rFonts w:ascii="Verdana" w:hAnsi="Verdana"/>
                <w:b/>
                <w:sz w:val="14"/>
                <w:szCs w:val="14"/>
              </w:rPr>
              <w:t xml:space="preserve">Ikus </w:t>
            </w:r>
            <w:r w:rsidR="00F57588" w:rsidRPr="00990500">
              <w:rPr>
                <w:rStyle w:val="Hiperesteka"/>
                <w:rFonts w:ascii="Verdana" w:hAnsi="Verdana"/>
                <w:b/>
                <w:sz w:val="14"/>
                <w:szCs w:val="14"/>
              </w:rPr>
              <w:t>oharra (22</w:t>
            </w:r>
            <w:r w:rsidRPr="00990500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Deskargu ekonomikoan egotzitako </w:t>
            </w:r>
            <w:r>
              <w:rPr>
                <w:b/>
                <w:sz w:val="16"/>
                <w:szCs w:val="16"/>
              </w:rPr>
              <w:t>zuzeneko kostua</w:t>
            </w:r>
            <w:r>
              <w:rPr>
                <w:sz w:val="16"/>
                <w:szCs w:val="16"/>
              </w:rPr>
              <w:t xml:space="preserve"> eta aurkeztutako kalkulua berdinak direla.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b/>
                <w:sz w:val="14"/>
                <w:szCs w:val="14"/>
              </w:rPr>
              <w:t>23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Ordu-zati guztiak ikertzaileek eta proiektuaren buruak behar bezala sinatuta daude, hau da, bi sinadurak dituzte.</w:t>
            </w:r>
          </w:p>
          <w:p w:rsidR="00C461AE" w:rsidRPr="004F7300" w:rsidRDefault="001B0427" w:rsidP="00C0596D">
            <w:pPr>
              <w:spacing w:before="0" w:after="0" w:line="360" w:lineRule="auto"/>
              <w:ind w:left="720"/>
              <w:rPr>
                <w:sz w:val="16"/>
                <w:szCs w:val="16"/>
              </w:rPr>
            </w:pPr>
            <w:r w:rsidRPr="004F730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sz w:val="16"/>
                <w:szCs w:val="16"/>
              </w:rPr>
              <w:instrText xml:space="preserve"> FORMCHECKBOX </w:instrText>
            </w:r>
            <w:r w:rsidR="00C0596D">
              <w:rPr>
                <w:sz w:val="16"/>
                <w:szCs w:val="16"/>
              </w:rPr>
            </w:r>
            <w:r w:rsidR="00C0596D">
              <w:rPr>
                <w:sz w:val="16"/>
                <w:szCs w:val="16"/>
              </w:rPr>
              <w:fldChar w:fldCharType="separate"/>
            </w:r>
            <w:r w:rsidRPr="004F7300">
              <w:rPr>
                <w:sz w:val="16"/>
                <w:szCs w:val="16"/>
              </w:rPr>
              <w:fldChar w:fldCharType="end"/>
            </w:r>
            <w:r w:rsidRPr="004F7300">
              <w:rPr>
                <w:sz w:val="16"/>
                <w:szCs w:val="16"/>
              </w:rPr>
              <w:t xml:space="preserve">  BAI     </w:t>
            </w:r>
            <w:r w:rsidRPr="004F730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sz w:val="16"/>
                <w:szCs w:val="16"/>
              </w:rPr>
              <w:instrText xml:space="preserve"> FORMCHECKBOX </w:instrText>
            </w:r>
            <w:r w:rsidR="00C0596D">
              <w:rPr>
                <w:sz w:val="16"/>
                <w:szCs w:val="16"/>
              </w:rPr>
            </w:r>
            <w:r w:rsidR="00C0596D">
              <w:rPr>
                <w:sz w:val="16"/>
                <w:szCs w:val="16"/>
              </w:rPr>
              <w:fldChar w:fldCharType="separate"/>
            </w:r>
            <w:r w:rsidRPr="004F7300">
              <w:rPr>
                <w:sz w:val="16"/>
                <w:szCs w:val="16"/>
              </w:rPr>
              <w:fldChar w:fldCharType="end"/>
            </w:r>
            <w:r w:rsidRPr="004F7300">
              <w:rPr>
                <w:sz w:val="16"/>
                <w:szCs w:val="16"/>
              </w:rPr>
              <w:t xml:space="preserve">  EZ     </w:t>
            </w:r>
            <w:r w:rsidRPr="004F730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sz w:val="16"/>
                <w:szCs w:val="16"/>
              </w:rPr>
              <w:instrText xml:space="preserve"> FORMCHECKBOX </w:instrText>
            </w:r>
            <w:r w:rsidR="00C0596D">
              <w:rPr>
                <w:sz w:val="16"/>
                <w:szCs w:val="16"/>
              </w:rPr>
            </w:r>
            <w:r w:rsidR="00C0596D">
              <w:rPr>
                <w:sz w:val="16"/>
                <w:szCs w:val="16"/>
              </w:rPr>
              <w:fldChar w:fldCharType="separate"/>
            </w:r>
            <w:r w:rsidRPr="004F7300">
              <w:rPr>
                <w:sz w:val="16"/>
                <w:szCs w:val="16"/>
              </w:rPr>
              <w:fldChar w:fldCharType="end"/>
            </w:r>
            <w:r w:rsidRPr="004F7300">
              <w:rPr>
                <w:sz w:val="16"/>
                <w:szCs w:val="16"/>
              </w:rPr>
              <w:t xml:space="preserve">  </w:t>
            </w:r>
            <w:r w:rsidRPr="004F7300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4F7300">
              <w:rPr>
                <w:rStyle w:val="Hiperesteka"/>
                <w:b/>
                <w:sz w:val="14"/>
                <w:szCs w:val="14"/>
              </w:rPr>
              <w:t>24</w:t>
            </w:r>
            <w:r w:rsidRPr="004F7300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C461AE" w:rsidRPr="00440DBF" w:rsidRDefault="00C461AE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parteetan ez dela sartu eskaera aurkeztu aurretik proiektu onartuan egindako ordurik.</w:t>
            </w:r>
          </w:p>
          <w:p w:rsidR="00C461AE" w:rsidRDefault="00C461AE" w:rsidP="00CA34F7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25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Deskargu ekonomikoan ikertzaileei egotzitako ordu-kopurua bat datorrela lanorduen parteetakoarekin.</w:t>
            </w:r>
          </w:p>
          <w:p w:rsidR="00CA34F7" w:rsidRDefault="001B0427" w:rsidP="00CA34F7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</w:r>
            <w:r w:rsidR="00C0596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(2</w:t>
            </w:r>
            <w:r w:rsidR="00F57588"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6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A865C7" w:rsidRPr="00CA34F7" w:rsidRDefault="00A865C7" w:rsidP="00CA34F7">
            <w:pPr>
              <w:pStyle w:val="Zerrenda-paragrafoa"/>
              <w:spacing w:line="300" w:lineRule="auto"/>
              <w:rPr>
                <w:rFonts w:ascii="Verdana" w:hAnsi="Verdana"/>
                <w:b/>
                <w:color w:val="0000FF"/>
                <w:sz w:val="14"/>
                <w:szCs w:val="14"/>
                <w:u w:val="single"/>
              </w:rPr>
            </w:pPr>
          </w:p>
          <w:p w:rsidR="001B0427" w:rsidRPr="00DE2D59" w:rsidRDefault="00DE2D59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Ez direla inondik ere aldi baterako baj</w:t>
            </w:r>
            <w:r>
              <w:rPr>
                <w:rFonts w:cs="Arial"/>
                <w:sz w:val="16"/>
                <w:szCs w:val="16"/>
              </w:rPr>
              <w:t>a-aldietan</w:t>
            </w:r>
            <w:r w:rsidRPr="00C32B95">
              <w:rPr>
                <w:rFonts w:cs="Arial"/>
                <w:sz w:val="16"/>
                <w:szCs w:val="16"/>
              </w:rPr>
              <w:t xml:space="preserve">, eszedentzian, oporretan, </w:t>
            </w:r>
            <w:r>
              <w:rPr>
                <w:rFonts w:cs="Arial"/>
                <w:sz w:val="16"/>
                <w:szCs w:val="16"/>
              </w:rPr>
              <w:t>atzerri</w:t>
            </w:r>
            <w:r w:rsidRPr="00C32B95">
              <w:rPr>
                <w:rFonts w:cs="Arial"/>
                <w:sz w:val="16"/>
                <w:szCs w:val="16"/>
              </w:rPr>
              <w:t>ko egonaldietan… ikerketa ordurik gehitu. Era berean, emandako lan-ordutegia bat datorrela lan-egutegiarekin.</w:t>
            </w:r>
          </w:p>
          <w:p w:rsidR="001B0427" w:rsidRDefault="001B0427" w:rsidP="001B0427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b/>
                <w:sz w:val="14"/>
                <w:szCs w:val="14"/>
              </w:rPr>
              <w:t>27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1B0427" w:rsidRPr="004A79D4" w:rsidRDefault="001B0427" w:rsidP="00D84AA3">
            <w:pPr>
              <w:numPr>
                <w:ilvl w:val="0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Ikertzaile bakoitzarengatik diruz lagundutako ikerketa-orduak ez direla hitzarmenean ezarritakoak baino gehiago.</w:t>
            </w:r>
          </w:p>
          <w:p w:rsidR="001B0427" w:rsidRDefault="001B0427" w:rsidP="00B154B2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(2</w:t>
            </w:r>
            <w:r w:rsidR="00F57588" w:rsidRPr="003010F8">
              <w:rPr>
                <w:rStyle w:val="Hiperesteka"/>
                <w:b/>
                <w:sz w:val="14"/>
                <w:szCs w:val="14"/>
              </w:rPr>
              <w:t>8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B154B2" w:rsidRDefault="00A865C7" w:rsidP="00B154B2">
            <w:pPr>
              <w:spacing w:before="0" w:after="0" w:line="360" w:lineRule="auto"/>
              <w:ind w:left="708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1B0427" w:rsidRPr="004A79D4" w:rsidTr="00B154B2">
        <w:trPr>
          <w:trHeight w:val="9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Zeharkako kostuak (langile-kostuen % 15)</w:t>
            </w:r>
          </w:p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Auditoreak orduko kostuak edo lanorduen parteak aztertzean detektatutako intzidentzien ondorioz zeharkako kostuak alteratu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1B0427" w:rsidRPr="004A79D4" w:rsidRDefault="001B0427" w:rsidP="00F57588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8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</w:t>
              </w:r>
              <w:r w:rsidR="00F57588">
                <w:rPr>
                  <w:rStyle w:val="Hiperesteka"/>
                  <w:b/>
                  <w:sz w:val="14"/>
                  <w:szCs w:val="14"/>
                </w:rPr>
                <w:t>9</w:t>
              </w:r>
              <w:r>
                <w:rPr>
                  <w:rStyle w:val="Hiperesteka"/>
                  <w:b/>
                  <w:sz w:val="14"/>
                  <w:szCs w:val="14"/>
                </w:rPr>
                <w:t>)</w:t>
              </w:r>
            </w:hyperlink>
          </w:p>
        </w:tc>
      </w:tr>
      <w:tr w:rsidR="001B0427" w:rsidRPr="00F91374" w:rsidTr="00B154B2">
        <w:trPr>
          <w:trHeight w:val="9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C0596D" w:rsidRDefault="001B0427" w:rsidP="001B0427">
            <w:pPr>
              <w:spacing w:line="360" w:lineRule="auto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Amortizazioa</w:t>
            </w:r>
          </w:p>
          <w:p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 xml:space="preserve">Enpresak EZ du amortizazio-gasturik egotzi proiektuan.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</w:t>
            </w:r>
          </w:p>
          <w:p w:rsidR="004F7300" w:rsidRDefault="004F7300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DE2D59" w:rsidRPr="00711378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kofinantzatu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1B0427" w:rsidRPr="003010F8" w:rsidRDefault="001B0427" w:rsidP="001B0427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3010F8">
              <w:rPr>
                <w:rStyle w:val="Hiperesteka"/>
                <w:b/>
                <w:sz w:val="14"/>
                <w:szCs w:val="14"/>
              </w:rPr>
              <w:t>30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B0427" w:rsidRPr="00DE2D59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 w:rsidRPr="00FB176F">
              <w:rPr>
                <w:rStyle w:val="Hiperesteka"/>
                <w:b/>
                <w:sz w:val="14"/>
                <w:szCs w:val="14"/>
              </w:rPr>
              <w:t>31</w:t>
            </w:r>
            <w:r w:rsidRPr="00FB176F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A865C7" w:rsidRPr="00B2795D" w:rsidRDefault="00A865C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B0427" w:rsidRPr="00F9137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Enpresak justifikatu ditu ekipamendua proiekturako erabili duen orduak.</w:t>
            </w:r>
          </w:p>
          <w:p w:rsidR="001B0427" w:rsidRDefault="001B0427" w:rsidP="00F57588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esteka"/>
                <w:b/>
                <w:sz w:val="14"/>
                <w:szCs w:val="14"/>
              </w:rPr>
              <w:t>Ikus oharra (</w:t>
            </w:r>
            <w:r w:rsidR="00F57588">
              <w:rPr>
                <w:rStyle w:val="Hiperesteka"/>
                <w:b/>
                <w:sz w:val="14"/>
                <w:szCs w:val="14"/>
              </w:rPr>
              <w:t>32</w:t>
            </w:r>
            <w:r>
              <w:rPr>
                <w:rStyle w:val="Hiperesteka"/>
                <w:b/>
                <w:sz w:val="14"/>
                <w:szCs w:val="14"/>
              </w:rPr>
              <w:t>)</w:t>
            </w:r>
          </w:p>
          <w:p w:rsidR="00B154B2" w:rsidRPr="00F91374" w:rsidRDefault="00B154B2" w:rsidP="00F5758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B852DA" w:rsidRPr="00F91374" w:rsidTr="00B154B2">
        <w:trPr>
          <w:trHeight w:val="15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40B57" w:rsidRPr="004A79D4" w:rsidRDefault="00C40B57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Azpikontratazioa</w:t>
            </w:r>
          </w:p>
          <w:p w:rsidR="00DE2D59" w:rsidRPr="00711378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</w:t>
            </w:r>
            <w:r>
              <w:rPr>
                <w:rFonts w:cs="Arial"/>
                <w:sz w:val="16"/>
                <w:szCs w:val="16"/>
              </w:rPr>
              <w:t>e</w:t>
            </w:r>
            <w:r w:rsidRPr="00711378">
              <w:rPr>
                <w:rFonts w:cs="Arial"/>
                <w:sz w:val="16"/>
                <w:szCs w:val="16"/>
              </w:rPr>
              <w:t>ek egiaztatu dute proiektuaren onuradunen artean erakunde bat bera ere ez dagoela aldi berean proiektu berean parte hartzen duen e</w:t>
            </w:r>
            <w:r>
              <w:rPr>
                <w:rFonts w:cs="Arial"/>
                <w:sz w:val="16"/>
                <w:szCs w:val="16"/>
              </w:rPr>
              <w:t>n</w:t>
            </w:r>
            <w:r w:rsidRPr="00711378">
              <w:rPr>
                <w:rFonts w:cs="Arial"/>
                <w:sz w:val="16"/>
                <w:szCs w:val="16"/>
              </w:rPr>
              <w:t>presa batek azpikontratuta.</w:t>
            </w:r>
          </w:p>
          <w:p w:rsidR="00B852DA" w:rsidRDefault="00B852DA" w:rsidP="00B154B2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33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B154B2" w:rsidRDefault="00B154B2" w:rsidP="00B154B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B852DA" w:rsidRPr="00F91374" w:rsidTr="00B154B2">
        <w:trPr>
          <w:trHeight w:val="103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40DBF" w:rsidRDefault="00B852DA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 ESTRATEGIKOAK</w:t>
            </w:r>
          </w:p>
          <w:p w:rsidR="00B852DA" w:rsidRPr="00440DBF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Singularrak ez diren proiektuetan, egiaztatu da Zientzia Teknologia eta Berrikuntzaren Euskal Sareko (ZTBES) agente batek behintzat parte hartu duela kontsortzio horretako enpresa batek edo gehiagok azpikontratatuta. </w:t>
            </w:r>
          </w:p>
          <w:p w:rsidR="00B852DA" w:rsidRDefault="00B852DA" w:rsidP="00B154B2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B154B2" w:rsidRDefault="00B154B2" w:rsidP="00B154B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1B0427" w:rsidRPr="00447CD7" w:rsidTr="00E03118">
        <w:trPr>
          <w:trHeight w:val="548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3D3670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>KONTABILITATEA</w:t>
            </w:r>
          </w:p>
          <w:p w:rsidR="00E10E83" w:rsidRPr="00577CA1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Auditoreek entitate onuradunaren kontabilitate-sisteman bereizi ahal izan</w:t>
            </w:r>
            <w:r>
              <w:rPr>
                <w:sz w:val="16"/>
                <w:szCs w:val="16"/>
              </w:rPr>
              <w:t xml:space="preserve"> dituzte proiektuari lotutako gastuak, berariazko kontabilitate-kode edo -erreferentzien eta/edo azpikontuen bidez.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B3787" w:rsidRPr="003D3670" w:rsidRDefault="009B378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2079F" w:rsidRPr="003D3670" w:rsidRDefault="00DE2D59" w:rsidP="00DE2D5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40DBF" w:rsidRPr="003D3670" w:rsidTr="00B154B2">
              <w:trPr>
                <w:trHeight w:val="179"/>
              </w:trPr>
              <w:tc>
                <w:tcPr>
                  <w:tcW w:w="5824" w:type="dxa"/>
                </w:tcPr>
                <w:p w:rsidR="001B0427" w:rsidRPr="003D3670" w:rsidRDefault="008A71ED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 w:rsidR="00462089"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1B0427"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1B0427" w:rsidRPr="003D3670" w:rsidRDefault="001B0427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E10E83" w:rsidRPr="00C0596D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Fakturak proiektuaren egikaritze-aldiaren barruan kontabilizatuta daude, aldi horretan gauzatzen eta fakturatzen da baita gastua. Beraz, hautagarritasun-baldintzak betetzen dituzte</w:t>
            </w:r>
          </w:p>
          <w:p w:rsidR="004111AC" w:rsidRPr="00C0596D" w:rsidRDefault="001B0427" w:rsidP="00DE2D59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BAI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EZ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 w:rsidRPr="00C0596D">
              <w:rPr>
                <w:rFonts w:cs="Arial"/>
                <w:b/>
                <w:sz w:val="14"/>
                <w:szCs w:val="14"/>
              </w:rPr>
            </w:r>
            <w:r w:rsidR="00C0596D" w:rsidRP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C0596D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B154B2" w:rsidRPr="00C0596D" w:rsidRDefault="00B154B2" w:rsidP="00A865C7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E10E83" w:rsidRPr="00C0596D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Auditoreek fakturen kontabilitate-idazpenak begiratu dituzte, eta faktura guztiak gastu gisa kontabilizatu direla egiaztatu dute. Beraz, hautagarritasun-baldintzak betetzen dituzte.</w:t>
            </w:r>
          </w:p>
          <w:p w:rsidR="00A865C7" w:rsidRPr="00A865C7" w:rsidRDefault="004111AC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D64797" w:rsidRDefault="00D64797" w:rsidP="001C4379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>Auditoreak detektatzen badu ibilgetu gisa kontabilizatutako fakturaren bat, faktura horren zk. eta zein kontutan kontabilizatu den adierazi behar du:</w:t>
            </w:r>
            <w:r w:rsidR="00DE2D59" w:rsidRPr="003D3670">
              <w:rPr>
                <w:sz w:val="16"/>
                <w:szCs w:val="16"/>
              </w:rPr>
              <w:t xml:space="preserve"> </w:t>
            </w: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9B3787" w:rsidRPr="004760E9" w:rsidTr="00CC496D">
              <w:tc>
                <w:tcPr>
                  <w:tcW w:w="2121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Faktura zk.</w:t>
                  </w: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kontu-zk.: </w:t>
                  </w:r>
                  <w:r w:rsidRPr="009B3787">
                    <w:rPr>
                      <w:sz w:val="16"/>
                      <w:szCs w:val="16"/>
                    </w:rPr>
                    <w:t>deskribapena</w:t>
                  </w:r>
                </w:p>
              </w:tc>
            </w:tr>
            <w:tr w:rsidR="009B3787" w:rsidRPr="004760E9" w:rsidTr="00CC496D">
              <w:tc>
                <w:tcPr>
                  <w:tcW w:w="2121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B3787" w:rsidRPr="004760E9" w:rsidTr="00CC496D">
              <w:tc>
                <w:tcPr>
                  <w:tcW w:w="2121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B3787" w:rsidRPr="004760E9" w:rsidRDefault="009B3787" w:rsidP="009B3787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B0427" w:rsidRPr="003D3670" w:rsidRDefault="001B0427" w:rsidP="009B3787">
            <w:pPr>
              <w:spacing w:before="0" w:after="0" w:line="360" w:lineRule="auto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1B0427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1B0427" w:rsidRPr="00B2795D" w:rsidRDefault="001B0427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10E83" w:rsidRDefault="00E10E83" w:rsidP="00E10E83">
            <w:pPr>
              <w:spacing w:before="0" w:after="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0596D">
              <w:rPr>
                <w:color w:val="000000" w:themeColor="text1"/>
                <w:sz w:val="16"/>
                <w:szCs w:val="16"/>
              </w:rPr>
              <w:t>Gastuen justifikazio-agiriek I. faseko eskaeraren dataren eta dagokion urterokoaren gauzatze-aldiaren amaiera-dataren arteko data dute.</w:t>
            </w:r>
          </w:p>
          <w:p w:rsidR="00E10E83" w:rsidRPr="00226978" w:rsidRDefault="00E10E83" w:rsidP="00B154B2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10E83" w:rsidRPr="00B2795D" w:rsidRDefault="00E10E83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E10E83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E10E83" w:rsidRPr="0057167D" w:rsidRDefault="00E10E83" w:rsidP="00E10E8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(3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3D3670" w:rsidP="00B154B2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226978">
              <w:rPr>
                <w:rFonts w:cs="Arial"/>
                <w:sz w:val="16"/>
                <w:szCs w:val="16"/>
              </w:rPr>
              <w:t>Deskargu ekonomikoa</w:t>
            </w:r>
            <w:r>
              <w:rPr>
                <w:rFonts w:cs="Arial"/>
                <w:sz w:val="16"/>
                <w:szCs w:val="16"/>
              </w:rPr>
              <w:t>n</w:t>
            </w:r>
            <w:r w:rsidRPr="00226978">
              <w:rPr>
                <w:rFonts w:cs="Arial"/>
                <w:sz w:val="16"/>
                <w:szCs w:val="16"/>
              </w:rPr>
              <w:t xml:space="preserve"> fakturen  zenbatekoa</w:t>
            </w:r>
            <w:r>
              <w:rPr>
                <w:rFonts w:cs="Arial"/>
                <w:sz w:val="16"/>
                <w:szCs w:val="16"/>
              </w:rPr>
              <w:t>k</w:t>
            </w:r>
            <w:r w:rsidRPr="00226978">
              <w:rPr>
                <w:rFonts w:cs="Arial"/>
                <w:sz w:val="16"/>
                <w:szCs w:val="16"/>
              </w:rPr>
              <w:t xml:space="preserve"> egotzi dira, BEZa eta antzeko zerga batzuk aintzat hartu gabe.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i/>
                <w:sz w:val="14"/>
                <w:szCs w:val="14"/>
              </w:rPr>
            </w:r>
            <w:r w:rsidR="00C0596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i/>
                <w:sz w:val="14"/>
                <w:szCs w:val="14"/>
              </w:rPr>
            </w:r>
            <w:r w:rsidR="00C0596D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57167D" w:rsidRPr="00B2795D" w:rsidRDefault="0057167D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i/>
                <w:sz w:val="14"/>
                <w:szCs w:val="14"/>
              </w:rPr>
            </w:r>
            <w:r w:rsidR="00C0596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(40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Gastuen eta ordainketen justifikazio moduan aurkeztu diren agiriek froga-balioa dute trafiko juridiko-merkantilean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F5758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(41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10E83" w:rsidRPr="00C0596D" w:rsidRDefault="00E10E83" w:rsidP="00E10E83">
            <w:pPr>
              <w:spacing w:before="0" w:after="0" w:line="360" w:lineRule="auto"/>
              <w:rPr>
                <w:sz w:val="16"/>
                <w:szCs w:val="16"/>
              </w:rPr>
            </w:pPr>
          </w:p>
          <w:p w:rsidR="00E10E83" w:rsidRDefault="00E10E83" w:rsidP="00E10E83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Fakturek betetzen dituzte</w:t>
            </w:r>
            <w:r w:rsidRPr="00C0596D">
              <w:t xml:space="preserve"> </w:t>
            </w:r>
            <w:hyperlink r:id="rId9" w:history="1">
              <w:r w:rsidRPr="00C0596D">
                <w:rPr>
                  <w:b/>
                  <w:sz w:val="16"/>
                  <w:szCs w:val="16"/>
                  <w:u w:val="single"/>
                </w:rPr>
                <w:t>azaroaren 30eko 1619/2012 Errege Dekretuak bere 6. artikuluan ezartzen dituen betekizunak</w:t>
              </w:r>
            </w:hyperlink>
            <w:r w:rsidRPr="00C0596D">
              <w:t xml:space="preserve"> </w:t>
            </w:r>
            <w:r w:rsidRPr="00C0596D">
              <w:rPr>
                <w:sz w:val="16"/>
                <w:szCs w:val="16"/>
              </w:rPr>
              <w:t>(Dekretu horren bidez onartzen da fakturatze-betebeharrak erregulatzen dituen Erregelamendua)</w:t>
            </w:r>
            <w:r w:rsidRPr="00C0596D">
              <w:t>.</w:t>
            </w:r>
          </w:p>
          <w:p w:rsidR="00E10E83" w:rsidRDefault="00E10E83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E10E83" w:rsidRPr="0057167D" w:rsidRDefault="00E10E83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(42)</w:t>
            </w:r>
          </w:p>
        </w:tc>
      </w:tr>
      <w:tr w:rsidR="0057167D" w:rsidRPr="00B2795D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CA34F7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Ordainketen justifikazio-agiriek frogatzen dute onuradunaren diruaren irteera materiala eta hartzailea eta faktura-zk.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(4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:rsidTr="00CA34F7">
        <w:trPr>
          <w:trHeight w:val="118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852DA" w:rsidRPr="00B154B2" w:rsidRDefault="00B154B2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B154B2">
              <w:rPr>
                <w:sz w:val="16"/>
                <w:szCs w:val="16"/>
              </w:rPr>
              <w:t>B</w:t>
            </w:r>
            <w:r w:rsidR="00B852DA" w:rsidRPr="00B154B2">
              <w:rPr>
                <w:sz w:val="16"/>
                <w:szCs w:val="16"/>
              </w:rPr>
              <w:t>este prozedura batzuk</w:t>
            </w:r>
            <w:r w:rsidR="008A71ED" w:rsidRPr="00B154B2">
              <w:rPr>
                <w:sz w:val="16"/>
                <w:szCs w:val="16"/>
              </w:rPr>
              <w:t xml:space="preserve">. </w:t>
            </w:r>
            <w:r w:rsidR="00B852DA" w:rsidRPr="00B154B2">
              <w:rPr>
                <w:sz w:val="16"/>
                <w:szCs w:val="16"/>
              </w:rPr>
              <w:t xml:space="preserve"> Auditoreak burutu ditu diru-laguntza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382823" w:rsidRPr="00382823" w:rsidRDefault="00B154B2" w:rsidP="00E10E83">
            <w:pPr>
              <w:spacing w:line="300" w:lineRule="auto"/>
              <w:rPr>
                <w:b/>
                <w:color w:val="0000FF"/>
                <w:sz w:val="14"/>
                <w:szCs w:val="14"/>
                <w:u w:val="single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sz w:val="14"/>
                <w:szCs w:val="14"/>
              </w:rPr>
            </w:r>
            <w:r w:rsidR="00C0596D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(4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3D3670" w:rsidP="00382823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2795D" w:rsidRDefault="00B852DA" w:rsidP="00E10E83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F57588" w:rsidRPr="00FB176F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46208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auditoreak egiaztatu du FITXATEGI KONPRIMATUKO </w:t>
            </w:r>
            <w:r w:rsidR="00F57588">
              <w:rPr>
                <w:sz w:val="16"/>
                <w:szCs w:val="16"/>
              </w:rPr>
              <w:t>1</w:t>
            </w:r>
            <w:r w:rsidR="004620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852DA" w:rsidRDefault="00B852DA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0596D">
              <w:rPr>
                <w:rFonts w:cs="Arial"/>
                <w:b/>
                <w:sz w:val="14"/>
                <w:szCs w:val="14"/>
              </w:rPr>
            </w:r>
            <w:r w:rsidR="00C0596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="00F57588" w:rsidRPr="00FB176F">
              <w:rPr>
                <w:b/>
                <w:color w:val="0000FF"/>
                <w:sz w:val="16"/>
                <w:szCs w:val="14"/>
                <w:u w:val="single"/>
              </w:rPr>
              <w:t>Ikus oharra (4</w:t>
            </w:r>
            <w:r w:rsidR="00E10E83">
              <w:rPr>
                <w:b/>
                <w:color w:val="0000FF"/>
                <w:sz w:val="16"/>
                <w:szCs w:val="14"/>
                <w:u w:val="single"/>
              </w:rPr>
              <w:t>6</w:t>
            </w:r>
            <w:r w:rsidRPr="00FB176F">
              <w:rPr>
                <w:b/>
                <w:color w:val="0000FF"/>
                <w:sz w:val="16"/>
                <w:szCs w:val="14"/>
                <w:u w:val="single"/>
              </w:rPr>
              <w:t>)</w:t>
            </w:r>
          </w:p>
        </w:tc>
      </w:tr>
    </w:tbl>
    <w:p w:rsidR="00B852DA" w:rsidRPr="00B154B2" w:rsidRDefault="00B852DA" w:rsidP="00B154B2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  <w:szCs w:val="18"/>
        </w:rPr>
      </w:pPr>
      <w:r w:rsidRPr="00B154B2">
        <w:rPr>
          <w:b/>
          <w:caps/>
          <w:sz w:val="18"/>
          <w:szCs w:val="18"/>
        </w:rPr>
        <w:t>OHARRAK: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(7) oharra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(17) oharra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(20) oharra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(23) oharra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(36)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(37)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(39)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E09E9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Default="00EE09E9" w:rsidP="00621225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9" w:rsidRPr="004A79D4" w:rsidRDefault="00EE09E9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10E83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Default="00E10E83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(44)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4A79D4" w:rsidRDefault="00E10E83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10E83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Default="00E10E83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(45)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4A79D4" w:rsidRDefault="00E10E83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E10E83" w:rsidP="00E10E83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(46)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154B2">
      <w:pPr>
        <w:numPr>
          <w:ilvl w:val="0"/>
          <w:numId w:val="19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ONDORIOAK</w:t>
      </w:r>
    </w:p>
    <w:p w:rsidR="00E10E83" w:rsidRDefault="00E10E83" w:rsidP="00E10E83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Aurrekoa azterketatik, auditoreek ondorioztatu dute:</w:t>
      </w:r>
    </w:p>
    <w:p w:rsidR="00E10E83" w:rsidRPr="00C0596D" w:rsidRDefault="00E10E83" w:rsidP="00E10E83">
      <w:pPr>
        <w:pStyle w:val="Zerrenda-paragrafoa"/>
        <w:numPr>
          <w:ilvl w:val="0"/>
          <w:numId w:val="21"/>
        </w:numPr>
        <w:spacing w:before="60" w:after="240" w:line="360" w:lineRule="auto"/>
        <w:ind w:left="357" w:right="-284"/>
        <w:rPr>
          <w:rFonts w:cs="Arial"/>
          <w:sz w:val="18"/>
          <w:szCs w:val="18"/>
        </w:rPr>
      </w:pPr>
      <w:r w:rsidRPr="00C0596D">
        <w:rPr>
          <w:b/>
          <w:sz w:val="18"/>
          <w:szCs w:val="18"/>
        </w:rPr>
        <w:t xml:space="preserve">2018/2019/2020 urterokoan </w:t>
      </w:r>
      <w:r w:rsidRPr="00C0596D">
        <w:rPr>
          <w:i/>
          <w:sz w:val="18"/>
          <w:szCs w:val="18"/>
        </w:rPr>
        <w:t>(ezabatu egoki ez dena)</w:t>
      </w:r>
      <w:r w:rsidRPr="00C0596D">
        <w:rPr>
          <w:sz w:val="18"/>
          <w:szCs w:val="18"/>
        </w:rPr>
        <w:t xml:space="preserve"> gastu-partida bakoitzean </w:t>
      </w:r>
      <w:r w:rsidRPr="00C0596D">
        <w:rPr>
          <w:b/>
          <w:sz w:val="18"/>
          <w:szCs w:val="18"/>
        </w:rPr>
        <w:t xml:space="preserve">gauzatutako aurrekontu onartua </w:t>
      </w:r>
      <w:r w:rsidRPr="00C0596D">
        <w:rPr>
          <w:sz w:val="18"/>
          <w:szCs w:val="18"/>
        </w:rPr>
        <w:t>honako hau dela:</w:t>
      </w:r>
    </w:p>
    <w:tbl>
      <w:tblPr>
        <w:tblW w:w="53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617"/>
        <w:gridCol w:w="1146"/>
        <w:gridCol w:w="1577"/>
        <w:gridCol w:w="1613"/>
        <w:gridCol w:w="1332"/>
        <w:gridCol w:w="1116"/>
      </w:tblGrid>
      <w:tr w:rsidR="00530C22" w:rsidRPr="000E0C79" w:rsidTr="00530C22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10E83" w:rsidRPr="005320B2" w:rsidRDefault="00E10E83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10E83" w:rsidRPr="000C44EA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B54EB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:rsidR="00E10E83" w:rsidRPr="009B54EB" w:rsidRDefault="00E10E83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B54EB">
              <w:rPr>
                <w:b/>
                <w:sz w:val="14"/>
                <w:szCs w:val="14"/>
              </w:rPr>
              <w:t>G</w:t>
            </w:r>
            <w:r w:rsidR="009B54EB">
              <w:rPr>
                <w:b/>
                <w:sz w:val="14"/>
                <w:szCs w:val="14"/>
              </w:rPr>
              <w:t>ASTU EZ-HAUTAGARRIA</w:t>
            </w:r>
            <w:r w:rsidR="00530C22">
              <w:rPr>
                <w:b/>
                <w:sz w:val="14"/>
                <w:szCs w:val="14"/>
              </w:rPr>
              <w:t>K</w:t>
            </w:r>
          </w:p>
          <w:p w:rsidR="00E10E83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10E83" w:rsidRPr="000E0C79" w:rsidRDefault="00E10E83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10E83" w:rsidRPr="000E0C79" w:rsidRDefault="009B54EB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DESB.</w:t>
            </w:r>
            <w:r w:rsidR="00E10E83">
              <w:rPr>
                <w:b/>
                <w:sz w:val="14"/>
                <w:szCs w:val="14"/>
              </w:rPr>
              <w:t xml:space="preserve"> </w:t>
            </w:r>
            <w:r w:rsidR="00E10E83">
              <w:rPr>
                <w:b/>
                <w:sz w:val="12"/>
                <w:szCs w:val="12"/>
              </w:rPr>
              <w:t>(2)</w:t>
            </w:r>
            <w:r w:rsidR="00E10E8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Langileen zuzeneko kostuak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Zeharkako kostuak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Azpikontratazioa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ZTBES azpikontratazioa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Bestelako gastuak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:rsidTr="00530C2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Amortizazioa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0596D" w:rsidTr="00530C22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10E83" w:rsidRPr="00C0596D" w:rsidRDefault="00E10E83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E83" w:rsidRPr="00C0596D" w:rsidRDefault="00E10E83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0E83" w:rsidRPr="00C0596D" w:rsidRDefault="00E10E83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E83" w:rsidRPr="00C0596D" w:rsidRDefault="00E10E83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E83" w:rsidRPr="00C0596D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0E83" w:rsidRPr="00C0596D" w:rsidRDefault="00E10E83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0E83" w:rsidRPr="00C0596D" w:rsidRDefault="00E10E83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(1) Laguntza emateko ebazpenaren arabera</w:t>
      </w:r>
    </w:p>
    <w:p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(2) Diruz lagundu ahal izateko baldintzak betetzen ez dituzten gastuen edo fakturen zenbatekoa adieraziko da. Hurrengo puntuan, egindako doikuntzei buruzko xehetasun gehiago emango dira.</w:t>
      </w:r>
    </w:p>
    <w:p w:rsidR="009B54EB" w:rsidRDefault="009B54EB" w:rsidP="009B54EB">
      <w:pPr>
        <w:spacing w:before="240" w:after="60"/>
        <w:outlineLvl w:val="0"/>
        <w:rPr>
          <w:sz w:val="16"/>
          <w:szCs w:val="16"/>
        </w:rPr>
      </w:pPr>
      <w:r w:rsidRPr="00C0596D">
        <w:rPr>
          <w:sz w:val="12"/>
          <w:szCs w:val="12"/>
        </w:rPr>
        <w:t>(3)</w:t>
      </w:r>
      <w:r w:rsidRPr="00C0596D">
        <w:t xml:space="preserve"> </w:t>
      </w:r>
      <w:r w:rsidRPr="00C0596D">
        <w:rPr>
          <w:sz w:val="16"/>
          <w:szCs w:val="16"/>
        </w:rPr>
        <w:t>Gastu-partidaren bat beherantz desbideratu bada, onartutako aurrekontuaren gainean kalkulatuko da desbideratzearen %.</w:t>
      </w:r>
    </w:p>
    <w:p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:rsidR="00530C22" w:rsidRPr="00C0596D" w:rsidRDefault="00530C22" w:rsidP="00530C22">
      <w:pPr>
        <w:pStyle w:val="Zerrenda-paragrafoa"/>
        <w:numPr>
          <w:ilvl w:val="0"/>
          <w:numId w:val="21"/>
        </w:numPr>
        <w:spacing w:before="60" w:after="240"/>
        <w:ind w:right="-284"/>
        <w:rPr>
          <w:rFonts w:cs="Arial"/>
          <w:sz w:val="18"/>
          <w:szCs w:val="16"/>
        </w:rPr>
      </w:pPr>
      <w:bookmarkStart w:id="25" w:name="_GoBack"/>
      <w:bookmarkEnd w:id="25"/>
      <w:r w:rsidRPr="00C0596D">
        <w:rPr>
          <w:sz w:val="18"/>
          <w:szCs w:val="16"/>
        </w:rPr>
        <w:lastRenderedPageBreak/>
        <w:t xml:space="preserve">Egindako doikuntzei buruzko </w:t>
      </w:r>
      <w:r w:rsidRPr="00C0596D">
        <w:rPr>
          <w:b/>
          <w:sz w:val="18"/>
          <w:szCs w:val="16"/>
        </w:rPr>
        <w:t>OHARRAK</w:t>
      </w:r>
      <w:r w:rsidRPr="00C0596D">
        <w:rPr>
          <w:sz w:val="18"/>
          <w:szCs w:val="16"/>
        </w:rPr>
        <w:t>:</w:t>
      </w:r>
    </w:p>
    <w:p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</w:p>
    <w:tbl>
      <w:tblPr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6"/>
        <w:gridCol w:w="3779"/>
        <w:gridCol w:w="4139"/>
      </w:tblGrid>
      <w:tr w:rsidR="009B54EB" w:rsidRPr="00C0596D" w:rsidTr="00530C22">
        <w:trPr>
          <w:tblHeader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0C22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</w:p>
          <w:p w:rsidR="009B54EB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 xml:space="preserve">Gastu </w:t>
            </w:r>
            <w:r w:rsidR="009B54EB" w:rsidRPr="00C0596D">
              <w:rPr>
                <w:b/>
                <w:sz w:val="16"/>
                <w:szCs w:val="16"/>
              </w:rPr>
              <w:t>ez-hautagarria (zenbatekoa eurotan)</w:t>
            </w:r>
          </w:p>
          <w:p w:rsidR="009B54EB" w:rsidRPr="00C0596D" w:rsidRDefault="009B54EB" w:rsidP="00530C22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Fakturaren erreferentzia/Eskulanaren gastuaren xehetasuna</w:t>
            </w:r>
          </w:p>
        </w:tc>
        <w:tc>
          <w:tcPr>
            <w:tcW w:w="2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ARRAZOIA</w:t>
            </w:r>
          </w:p>
        </w:tc>
      </w:tr>
      <w:tr w:rsidR="009B54EB" w:rsidRPr="00C0596D" w:rsidTr="00530C22"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4EB" w:rsidRPr="00C0596D" w:rsidRDefault="009B54EB" w:rsidP="009F1F8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54EB" w:rsidRPr="00C0596D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4EB" w:rsidRPr="00C0596D" w:rsidRDefault="009B54EB" w:rsidP="009F1F8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Izena:</w:t>
      </w:r>
    </w:p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ROAC erregistroko inskripzio-zenbakia:</w:t>
      </w:r>
    </w:p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Sinadura, data eta zigilua</w:t>
      </w:r>
    </w:p>
    <w:p w:rsidR="003678FF" w:rsidRDefault="003678FF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10"/>
      <w:footerReference w:type="default" r:id="rId11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00" w:rsidRDefault="004F7300" w:rsidP="005338B5">
      <w:pPr>
        <w:spacing w:before="0" w:after="0"/>
      </w:pPr>
      <w:r>
        <w:separator/>
      </w:r>
    </w:p>
  </w:endnote>
  <w:endnote w:type="continuationSeparator" w:id="0">
    <w:p w:rsidR="004F7300" w:rsidRDefault="004F7300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4F7300" w:rsidRPr="00B2795D" w:rsidRDefault="004F7300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HAZITEK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0596D">
          <w:rPr>
            <w:noProof/>
            <w:sz w:val="12"/>
            <w:szCs w:val="12"/>
          </w:rPr>
          <w:t>9</w:t>
        </w:r>
        <w:r w:rsidRPr="00B2795D">
          <w:rPr>
            <w:sz w:val="12"/>
            <w:szCs w:val="12"/>
          </w:rPr>
          <w:fldChar w:fldCharType="end"/>
        </w:r>
      </w:p>
    </w:sdtContent>
  </w:sdt>
  <w:p w:rsidR="004F7300" w:rsidRPr="00B2795D" w:rsidRDefault="004F7300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00" w:rsidRDefault="004F7300" w:rsidP="005338B5">
      <w:pPr>
        <w:spacing w:before="0" w:after="0"/>
      </w:pPr>
      <w:r>
        <w:separator/>
      </w:r>
    </w:p>
  </w:footnote>
  <w:footnote w:type="continuationSeparator" w:id="0">
    <w:p w:rsidR="004F7300" w:rsidRDefault="004F7300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4F7300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4F7300" w:rsidRPr="00901FAB" w:rsidRDefault="004F730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</w:rPr>
          </w:pPr>
          <w:r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484088C" wp14:editId="6848D712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7300" w:rsidRPr="00901FAB" w:rsidRDefault="004F7300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DEPARTAMENTO DE DESARROLLO ECONÓMICO E INFRAESTRUCTURAS Viceconsejería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84088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4F7300" w:rsidRPr="00901FAB" w:rsidRDefault="004F7300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DESARROLLO ECONÓMICO E INFRAESTRUCTURAS Viceconsejería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6FC32D" wp14:editId="539F75EE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7300" w:rsidRPr="00901FAB" w:rsidRDefault="004F7300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EKONOMIAREN GARAPEN ETA AZPIEGITURA SAILA</w:t>
                                </w:r>
                              </w:p>
                              <w:p w:rsidR="004F7300" w:rsidRPr="00901FAB" w:rsidRDefault="004F7300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Teknologia, Berrikuntza eta Lehiakortasun Sailburuordetza</w:t>
                                </w:r>
                              </w:p>
                              <w:p w:rsidR="004F7300" w:rsidRDefault="004F7300" w:rsidP="001379B1"/>
                              <w:p w:rsidR="004F7300" w:rsidRPr="00264AFB" w:rsidRDefault="004F7300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FC32D"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4F7300" w:rsidRPr="00901FAB" w:rsidRDefault="004F7300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EKONOMIAREN GARAPEN ETA AZPIEGITURA SAILA</w:t>
                          </w:r>
                        </w:p>
                        <w:p w:rsidR="004F7300" w:rsidRPr="00901FAB" w:rsidRDefault="004F7300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Teknologia, Berrikuntza eta Lehiakortasun Sailburuordetza</w:t>
                          </w:r>
                        </w:p>
                        <w:p w:rsidR="004F7300" w:rsidRDefault="004F7300" w:rsidP="001379B1"/>
                        <w:p w:rsidR="004F7300" w:rsidRPr="00264AFB" w:rsidRDefault="004F7300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277C0A79" wp14:editId="5CAA83B8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4F7300" w:rsidRPr="00901FAB" w:rsidRDefault="004F730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</w:rPr>
          </w:pP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148C19CA" wp14:editId="5DC61C18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7300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4F7300" w:rsidRPr="00901FAB" w:rsidRDefault="004F730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4F7300" w:rsidRPr="00901FAB" w:rsidRDefault="004F730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4F7300" w:rsidRPr="00901FAB" w:rsidRDefault="004F730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4F7300" w:rsidRPr="00901FAB" w:rsidRDefault="004F7300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eastAsia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BFE"/>
    <w:multiLevelType w:val="hybridMultilevel"/>
    <w:tmpl w:val="2304B258"/>
    <w:lvl w:ilvl="0" w:tplc="4574E7B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1454F"/>
    <w:rsid w:val="0002526B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2F67"/>
    <w:rsid w:val="00201411"/>
    <w:rsid w:val="00280D41"/>
    <w:rsid w:val="002B4D19"/>
    <w:rsid w:val="002C13A6"/>
    <w:rsid w:val="002C591E"/>
    <w:rsid w:val="002D3256"/>
    <w:rsid w:val="003010F8"/>
    <w:rsid w:val="003222EE"/>
    <w:rsid w:val="00327F1E"/>
    <w:rsid w:val="003678FF"/>
    <w:rsid w:val="00382823"/>
    <w:rsid w:val="003B4D5D"/>
    <w:rsid w:val="003C0853"/>
    <w:rsid w:val="003D06B5"/>
    <w:rsid w:val="003D3670"/>
    <w:rsid w:val="003E2C7A"/>
    <w:rsid w:val="003F037C"/>
    <w:rsid w:val="00406AB5"/>
    <w:rsid w:val="004111AC"/>
    <w:rsid w:val="004175EC"/>
    <w:rsid w:val="0042079F"/>
    <w:rsid w:val="00440DBF"/>
    <w:rsid w:val="00450F6F"/>
    <w:rsid w:val="00462089"/>
    <w:rsid w:val="004750B7"/>
    <w:rsid w:val="004845A9"/>
    <w:rsid w:val="0048787C"/>
    <w:rsid w:val="004A1135"/>
    <w:rsid w:val="004A11BC"/>
    <w:rsid w:val="004A2C07"/>
    <w:rsid w:val="004A79D4"/>
    <w:rsid w:val="004C36BD"/>
    <w:rsid w:val="004E4070"/>
    <w:rsid w:val="004F1CA2"/>
    <w:rsid w:val="004F7300"/>
    <w:rsid w:val="005108E4"/>
    <w:rsid w:val="0051359F"/>
    <w:rsid w:val="00514570"/>
    <w:rsid w:val="00520EA3"/>
    <w:rsid w:val="00526178"/>
    <w:rsid w:val="00527347"/>
    <w:rsid w:val="00530C22"/>
    <w:rsid w:val="005338B5"/>
    <w:rsid w:val="005372DC"/>
    <w:rsid w:val="00546DE6"/>
    <w:rsid w:val="00566D53"/>
    <w:rsid w:val="0057167D"/>
    <w:rsid w:val="00575A9F"/>
    <w:rsid w:val="00597775"/>
    <w:rsid w:val="005A64DB"/>
    <w:rsid w:val="005C5A4B"/>
    <w:rsid w:val="005F1DE6"/>
    <w:rsid w:val="005F5208"/>
    <w:rsid w:val="00611EC3"/>
    <w:rsid w:val="00613626"/>
    <w:rsid w:val="00621225"/>
    <w:rsid w:val="006341D3"/>
    <w:rsid w:val="00635097"/>
    <w:rsid w:val="006524D5"/>
    <w:rsid w:val="0065363D"/>
    <w:rsid w:val="006638ED"/>
    <w:rsid w:val="006728A0"/>
    <w:rsid w:val="00683EC8"/>
    <w:rsid w:val="00684280"/>
    <w:rsid w:val="006C6ECC"/>
    <w:rsid w:val="006D7AFA"/>
    <w:rsid w:val="006E0069"/>
    <w:rsid w:val="006E1C32"/>
    <w:rsid w:val="006F43BC"/>
    <w:rsid w:val="006F62B4"/>
    <w:rsid w:val="00726854"/>
    <w:rsid w:val="007305A3"/>
    <w:rsid w:val="00737EEE"/>
    <w:rsid w:val="007516C5"/>
    <w:rsid w:val="007570D6"/>
    <w:rsid w:val="007574C9"/>
    <w:rsid w:val="00760644"/>
    <w:rsid w:val="007906DD"/>
    <w:rsid w:val="007A02A1"/>
    <w:rsid w:val="007A224A"/>
    <w:rsid w:val="007B452D"/>
    <w:rsid w:val="007B5E66"/>
    <w:rsid w:val="007F47EE"/>
    <w:rsid w:val="007F7F10"/>
    <w:rsid w:val="00806732"/>
    <w:rsid w:val="0081699A"/>
    <w:rsid w:val="00821C11"/>
    <w:rsid w:val="00843BA4"/>
    <w:rsid w:val="00851AB1"/>
    <w:rsid w:val="00872873"/>
    <w:rsid w:val="008A0C37"/>
    <w:rsid w:val="008A71ED"/>
    <w:rsid w:val="008D1F63"/>
    <w:rsid w:val="008D553A"/>
    <w:rsid w:val="008F47B8"/>
    <w:rsid w:val="00902712"/>
    <w:rsid w:val="00926466"/>
    <w:rsid w:val="009327CC"/>
    <w:rsid w:val="0094456C"/>
    <w:rsid w:val="00952718"/>
    <w:rsid w:val="0098167B"/>
    <w:rsid w:val="00981ECE"/>
    <w:rsid w:val="00990500"/>
    <w:rsid w:val="009B1D5A"/>
    <w:rsid w:val="009B3787"/>
    <w:rsid w:val="009B54EB"/>
    <w:rsid w:val="009C6440"/>
    <w:rsid w:val="009C7EED"/>
    <w:rsid w:val="009F4308"/>
    <w:rsid w:val="00A05F4D"/>
    <w:rsid w:val="00A20D71"/>
    <w:rsid w:val="00A22F54"/>
    <w:rsid w:val="00A27970"/>
    <w:rsid w:val="00A4600B"/>
    <w:rsid w:val="00A47037"/>
    <w:rsid w:val="00A507B4"/>
    <w:rsid w:val="00A5311E"/>
    <w:rsid w:val="00A7239A"/>
    <w:rsid w:val="00A7775C"/>
    <w:rsid w:val="00A77F98"/>
    <w:rsid w:val="00A865C7"/>
    <w:rsid w:val="00AF38B6"/>
    <w:rsid w:val="00B019EF"/>
    <w:rsid w:val="00B154B2"/>
    <w:rsid w:val="00B2795D"/>
    <w:rsid w:val="00B41B95"/>
    <w:rsid w:val="00B654C7"/>
    <w:rsid w:val="00B67495"/>
    <w:rsid w:val="00B852DA"/>
    <w:rsid w:val="00B87212"/>
    <w:rsid w:val="00B9043F"/>
    <w:rsid w:val="00BC21A8"/>
    <w:rsid w:val="00BD45B1"/>
    <w:rsid w:val="00BD6CE5"/>
    <w:rsid w:val="00BF4F18"/>
    <w:rsid w:val="00BF58A6"/>
    <w:rsid w:val="00C0596D"/>
    <w:rsid w:val="00C12365"/>
    <w:rsid w:val="00C163B0"/>
    <w:rsid w:val="00C3716A"/>
    <w:rsid w:val="00C401A1"/>
    <w:rsid w:val="00C40B57"/>
    <w:rsid w:val="00C461AE"/>
    <w:rsid w:val="00C5193C"/>
    <w:rsid w:val="00C64A2A"/>
    <w:rsid w:val="00C77199"/>
    <w:rsid w:val="00C83478"/>
    <w:rsid w:val="00C93904"/>
    <w:rsid w:val="00CA34F7"/>
    <w:rsid w:val="00CA6027"/>
    <w:rsid w:val="00CB6424"/>
    <w:rsid w:val="00CC1587"/>
    <w:rsid w:val="00CC4EED"/>
    <w:rsid w:val="00D0249B"/>
    <w:rsid w:val="00D03EDD"/>
    <w:rsid w:val="00D0414D"/>
    <w:rsid w:val="00D07292"/>
    <w:rsid w:val="00D27AAC"/>
    <w:rsid w:val="00D50445"/>
    <w:rsid w:val="00D56062"/>
    <w:rsid w:val="00D5642B"/>
    <w:rsid w:val="00D64797"/>
    <w:rsid w:val="00D7294F"/>
    <w:rsid w:val="00D76894"/>
    <w:rsid w:val="00D80159"/>
    <w:rsid w:val="00D84AA3"/>
    <w:rsid w:val="00DB51F3"/>
    <w:rsid w:val="00DB6DC3"/>
    <w:rsid w:val="00DE2D59"/>
    <w:rsid w:val="00DE7843"/>
    <w:rsid w:val="00DF0C97"/>
    <w:rsid w:val="00E03118"/>
    <w:rsid w:val="00E10E83"/>
    <w:rsid w:val="00E2336A"/>
    <w:rsid w:val="00E42C05"/>
    <w:rsid w:val="00E5310D"/>
    <w:rsid w:val="00E60382"/>
    <w:rsid w:val="00E72527"/>
    <w:rsid w:val="00E87EA3"/>
    <w:rsid w:val="00E9129C"/>
    <w:rsid w:val="00E96B59"/>
    <w:rsid w:val="00EB6161"/>
    <w:rsid w:val="00EB78E4"/>
    <w:rsid w:val="00EB7BAD"/>
    <w:rsid w:val="00EE09E9"/>
    <w:rsid w:val="00EE5EFF"/>
    <w:rsid w:val="00EF4CE7"/>
    <w:rsid w:val="00F02BE8"/>
    <w:rsid w:val="00F31A06"/>
    <w:rsid w:val="00F43E13"/>
    <w:rsid w:val="00F47CFD"/>
    <w:rsid w:val="00F57588"/>
    <w:rsid w:val="00F714D6"/>
    <w:rsid w:val="00F86793"/>
    <w:rsid w:val="00F90635"/>
    <w:rsid w:val="00F91374"/>
    <w:rsid w:val="00FB176F"/>
    <w:rsid w:val="00FB4123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24EC8"/>
  <w15:docId w15:val="{6F14C037-A103-4B5F-95ED-FEEA0B3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">
    <w:name w:val="Tabla con cuadrícula1"/>
    <w:basedOn w:val="Taulanormala"/>
    <w:next w:val="Saretadunta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a"/>
    <w:next w:val="Saretadunta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a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2/12/01/pdfs/BOE-A-2012-1469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A63E-9E30-4B5F-904A-560AEE15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2841</Words>
  <Characters>15629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Valverde Oliver, Laura</cp:lastModifiedBy>
  <cp:revision>9</cp:revision>
  <cp:lastPrinted>2018-11-08T07:46:00Z</cp:lastPrinted>
  <dcterms:created xsi:type="dcterms:W3CDTF">2018-12-04T08:58:00Z</dcterms:created>
  <dcterms:modified xsi:type="dcterms:W3CDTF">2019-12-13T08:31:00Z</dcterms:modified>
</cp:coreProperties>
</file>